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7052E2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7052E2" w:rsidRDefault="007052E2" w:rsidP="007052E2">
      <w:pPr>
        <w:pStyle w:val="Heading2"/>
        <w:spacing w:before="0" w:after="0"/>
      </w:pPr>
      <w:bookmarkStart w:id="0" w:name="OLE_LINK21"/>
      <w:bookmarkStart w:id="1" w:name="OLE_LINK22"/>
      <w:proofErr w:type="spellStart"/>
      <w:r w:rsidRPr="007052E2">
        <w:t>Temel</w:t>
      </w:r>
      <w:proofErr w:type="spellEnd"/>
      <w:r w:rsidRPr="007052E2">
        <w:t xml:space="preserve"> </w:t>
      </w:r>
      <w:proofErr w:type="spellStart"/>
      <w:r w:rsidRPr="007052E2">
        <w:t>Bilgiler</w:t>
      </w:r>
      <w:proofErr w:type="spellEnd"/>
      <w:r w:rsidRPr="007052E2">
        <w:t xml:space="preserve"> 7 – </w:t>
      </w:r>
      <w:proofErr w:type="spellStart"/>
      <w:r w:rsidRPr="007052E2">
        <w:t>Mahkemeye</w:t>
      </w:r>
      <w:proofErr w:type="spellEnd"/>
      <w:r w:rsidRPr="007052E2">
        <w:t xml:space="preserve"> </w:t>
      </w:r>
      <w:proofErr w:type="spellStart"/>
      <w:r w:rsidRPr="007052E2">
        <w:t>Katılma</w:t>
      </w:r>
      <w:proofErr w:type="spellEnd"/>
    </w:p>
    <w:bookmarkEnd w:id="0"/>
    <w:bookmarkEnd w:id="1"/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gramStart"/>
      <w:r w:rsidRPr="007052E2">
        <w:rPr>
          <w:sz w:val="24"/>
          <w:szCs w:val="24"/>
        </w:rPr>
        <w:t xml:space="preserve">Polis, </w:t>
      </w:r>
      <w:proofErr w:type="spellStart"/>
      <w:r w:rsidRPr="007052E2">
        <w:rPr>
          <w:sz w:val="24"/>
          <w:szCs w:val="24"/>
        </w:rPr>
        <w:t>mağdurları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mahkemenin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yeri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tarihi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sanığa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karşı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yöneltilen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suçlamalar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konusunda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bilgilendirecektir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Mağdurların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savcının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tanığı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olmaları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nedeniyle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avukata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ihtiyacı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yoktur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toplumu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temsil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eder</w:t>
      </w:r>
      <w:proofErr w:type="spellEnd"/>
      <w:proofErr w:type="gramEnd"/>
      <w:r w:rsidRPr="007052E2">
        <w:rPr>
          <w:sz w:val="24"/>
          <w:szCs w:val="24"/>
        </w:rPr>
        <w:t xml:space="preserve">.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Sanığa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yöneltilen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suçlamaların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mahiyeti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davanın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görüleceği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bağlı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olarak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</w:t>
      </w:r>
      <w:proofErr w:type="spellEnd"/>
      <w:r w:rsidRPr="007052E2">
        <w:rPr>
          <w:sz w:val="24"/>
          <w:szCs w:val="24"/>
        </w:rPr>
        <w:t xml:space="preserve">, polis </w:t>
      </w:r>
      <w:proofErr w:type="spellStart"/>
      <w:r w:rsidRPr="007052E2">
        <w:rPr>
          <w:sz w:val="24"/>
          <w:szCs w:val="24"/>
        </w:rPr>
        <w:t>savcı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 NSW Office of the Director of Public Prosecutions – NSW  </w:t>
      </w:r>
      <w:proofErr w:type="spellStart"/>
      <w:r w:rsidRPr="007052E2">
        <w:rPr>
          <w:sz w:val="24"/>
          <w:szCs w:val="24"/>
        </w:rPr>
        <w:t>Kamu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Davaları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Müdürlüğü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Ofisi’nden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yani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ODPP’den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olabilir</w:t>
      </w:r>
      <w:proofErr w:type="spellEnd"/>
      <w:r w:rsidRPr="007052E2">
        <w:rPr>
          <w:sz w:val="24"/>
          <w:szCs w:val="24"/>
        </w:rPr>
        <w:t xml:space="preserve">.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gramStart"/>
      <w:r w:rsidRPr="007052E2">
        <w:rPr>
          <w:sz w:val="24"/>
          <w:szCs w:val="24"/>
        </w:rPr>
        <w:t xml:space="preserve">Polis </w:t>
      </w:r>
      <w:proofErr w:type="spellStart"/>
      <w:r w:rsidRPr="007052E2">
        <w:rPr>
          <w:sz w:val="24"/>
          <w:szCs w:val="24"/>
        </w:rPr>
        <w:t>suçları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araştırır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cezai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kovuşturmayı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başlatır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Eğer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suçlamalar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çocuğa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yönelik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cinsel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saldırı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memurunun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yargılanması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hariç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önemsiz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olaylarda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yerel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dava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açar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gramStart"/>
      <w:r w:rsidRPr="007052E2">
        <w:rPr>
          <w:sz w:val="24"/>
          <w:szCs w:val="24"/>
        </w:rPr>
        <w:t xml:space="preserve">Polis </w:t>
      </w:r>
      <w:proofErr w:type="spellStart"/>
      <w:r w:rsidRPr="007052E2">
        <w:rPr>
          <w:sz w:val="24"/>
          <w:szCs w:val="24"/>
        </w:rPr>
        <w:t>ciddi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suçları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davayı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yürütecek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ODPP’ye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devreder</w:t>
      </w:r>
      <w:proofErr w:type="spellEnd"/>
      <w:r w:rsidRPr="007052E2">
        <w:rPr>
          <w:sz w:val="24"/>
          <w:szCs w:val="24"/>
        </w:rPr>
        <w:t>.</w:t>
      </w:r>
      <w:proofErr w:type="gramEnd"/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Duruşma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günü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öncesi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</w:t>
      </w:r>
      <w:proofErr w:type="spellStart"/>
      <w:r w:rsidRPr="007052E2">
        <w:rPr>
          <w:sz w:val="24"/>
          <w:szCs w:val="24"/>
        </w:rPr>
        <w:t>diğer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tarihlerde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mağdurun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gitmesi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istenecektir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Olayla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ilgili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soruşturmayı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yürüten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memuru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mağdurla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mektup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</w:t>
      </w:r>
      <w:proofErr w:type="spellStart"/>
      <w:r w:rsidRPr="007052E2">
        <w:rPr>
          <w:sz w:val="24"/>
          <w:szCs w:val="24"/>
        </w:rPr>
        <w:t>telefonla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ilişki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kurmaktan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sorumludur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Söz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konusu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memuru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suç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mağdurlarına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yargı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süreci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şahidin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rolünü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anlatmakla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yükümlüdür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Mağdurlara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şahitlere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duruşmaya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gitmeleri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fezleke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göndermek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polisin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genel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uygulamasıdır</w:t>
      </w:r>
      <w:proofErr w:type="spellEnd"/>
      <w:r w:rsidRPr="007052E2">
        <w:rPr>
          <w:sz w:val="24"/>
          <w:szCs w:val="24"/>
        </w:rPr>
        <w:t>.</w:t>
      </w:r>
      <w:proofErr w:type="gramEnd"/>
    </w:p>
    <w:p w:rsidR="007052E2" w:rsidRPr="007052E2" w:rsidRDefault="007052E2" w:rsidP="007052E2">
      <w:pPr>
        <w:spacing w:after="0" w:line="240" w:lineRule="auto"/>
        <w:rPr>
          <w:bCs/>
          <w:sz w:val="24"/>
          <w:szCs w:val="24"/>
        </w:rPr>
      </w:pPr>
      <w:proofErr w:type="gramStart"/>
      <w:r w:rsidRPr="007052E2">
        <w:rPr>
          <w:bCs/>
          <w:sz w:val="24"/>
          <w:szCs w:val="24"/>
        </w:rPr>
        <w:t xml:space="preserve">“Justice Journey” </w:t>
      </w:r>
      <w:proofErr w:type="spellStart"/>
      <w:r w:rsidRPr="007052E2">
        <w:rPr>
          <w:bCs/>
          <w:sz w:val="24"/>
          <w:szCs w:val="24"/>
        </w:rPr>
        <w:t>Adalette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Yolculuk</w:t>
      </w:r>
      <w:proofErr w:type="spellEnd"/>
      <w:r w:rsidRPr="007052E2">
        <w:rPr>
          <w:bCs/>
          <w:sz w:val="24"/>
          <w:szCs w:val="24"/>
        </w:rPr>
        <w:t xml:space="preserve">, </w:t>
      </w:r>
      <w:proofErr w:type="spellStart"/>
      <w:r w:rsidRPr="007052E2">
        <w:rPr>
          <w:bCs/>
          <w:sz w:val="24"/>
          <w:szCs w:val="24"/>
        </w:rPr>
        <w:t>NSW’de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mağdurlara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adalet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sisteminde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yardımcı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olmak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için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internette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hazırlanmış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bir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rehberdir</w:t>
      </w:r>
      <w:proofErr w:type="spellEnd"/>
      <w:r w:rsidRPr="007052E2">
        <w:rPr>
          <w:bCs/>
          <w:sz w:val="24"/>
          <w:szCs w:val="24"/>
        </w:rPr>
        <w:t>.</w:t>
      </w:r>
      <w:proofErr w:type="gramEnd"/>
      <w:r w:rsidRPr="007052E2">
        <w:rPr>
          <w:bCs/>
          <w:sz w:val="24"/>
          <w:szCs w:val="24"/>
        </w:rPr>
        <w:t xml:space="preserve"> </w:t>
      </w:r>
    </w:p>
    <w:p w:rsidR="007052E2" w:rsidRPr="007052E2" w:rsidRDefault="007052E2" w:rsidP="007052E2">
      <w:pPr>
        <w:spacing w:after="0" w:line="240" w:lineRule="auto"/>
        <w:rPr>
          <w:bCs/>
          <w:sz w:val="24"/>
          <w:szCs w:val="24"/>
        </w:rPr>
      </w:pPr>
      <w:r w:rsidRPr="007052E2">
        <w:rPr>
          <w:bCs/>
          <w:sz w:val="24"/>
          <w:szCs w:val="24"/>
        </w:rPr>
        <w:t xml:space="preserve">Bu </w:t>
      </w:r>
      <w:proofErr w:type="spellStart"/>
      <w:r w:rsidRPr="007052E2">
        <w:rPr>
          <w:bCs/>
          <w:sz w:val="24"/>
          <w:szCs w:val="24"/>
        </w:rPr>
        <w:t>rehbere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ulaşmak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için</w:t>
      </w:r>
      <w:proofErr w:type="spellEnd"/>
      <w:r w:rsidRPr="007052E2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7052E2">
        <w:rPr>
          <w:bCs/>
          <w:sz w:val="24"/>
          <w:szCs w:val="24"/>
        </w:rPr>
        <w:t xml:space="preserve"> web </w:t>
      </w:r>
      <w:proofErr w:type="spellStart"/>
      <w:r w:rsidRPr="007052E2">
        <w:rPr>
          <w:bCs/>
          <w:sz w:val="24"/>
          <w:szCs w:val="24"/>
        </w:rPr>
        <w:t>sitesinde</w:t>
      </w:r>
      <w:proofErr w:type="spellEnd"/>
      <w:r w:rsidRPr="007052E2">
        <w:rPr>
          <w:bCs/>
          <w:sz w:val="24"/>
          <w:szCs w:val="24"/>
        </w:rPr>
        <w:t xml:space="preserve"> justice journey </w:t>
      </w:r>
      <w:proofErr w:type="spellStart"/>
      <w:r w:rsidRPr="007052E2">
        <w:rPr>
          <w:bCs/>
          <w:sz w:val="24"/>
          <w:szCs w:val="24"/>
        </w:rPr>
        <w:t>linkine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bakınız</w:t>
      </w:r>
      <w:proofErr w:type="spellEnd"/>
      <w:r w:rsidRPr="007052E2">
        <w:rPr>
          <w:bCs/>
          <w:sz w:val="24"/>
          <w:szCs w:val="24"/>
        </w:rPr>
        <w:t xml:space="preserve">. </w:t>
      </w:r>
    </w:p>
    <w:p w:rsidR="007052E2" w:rsidRPr="007052E2" w:rsidRDefault="007052E2" w:rsidP="007052E2">
      <w:pPr>
        <w:spacing w:after="0" w:line="240" w:lineRule="auto"/>
        <w:rPr>
          <w:bCs/>
          <w:sz w:val="24"/>
          <w:szCs w:val="24"/>
        </w:rPr>
      </w:pPr>
      <w:proofErr w:type="gramStart"/>
      <w:r w:rsidRPr="007052E2">
        <w:rPr>
          <w:bCs/>
          <w:sz w:val="24"/>
          <w:szCs w:val="24"/>
        </w:rPr>
        <w:t xml:space="preserve">Polis </w:t>
      </w:r>
      <w:proofErr w:type="spellStart"/>
      <w:r w:rsidRPr="007052E2">
        <w:rPr>
          <w:bCs/>
          <w:sz w:val="24"/>
          <w:szCs w:val="24"/>
        </w:rPr>
        <w:t>bütün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mağdurlara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mahkemedeki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rolleri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ve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karşılaşacakları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şeyler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konusunda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açık</w:t>
      </w:r>
      <w:proofErr w:type="spellEnd"/>
      <w:r w:rsidRPr="007052E2">
        <w:rPr>
          <w:bCs/>
          <w:sz w:val="24"/>
          <w:szCs w:val="24"/>
        </w:rPr>
        <w:t xml:space="preserve">, </w:t>
      </w:r>
      <w:proofErr w:type="spellStart"/>
      <w:r w:rsidRPr="007052E2">
        <w:rPr>
          <w:bCs/>
          <w:sz w:val="24"/>
          <w:szCs w:val="24"/>
        </w:rPr>
        <w:t>doğru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ve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güncel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bilgi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vermelidir</w:t>
      </w:r>
      <w:proofErr w:type="spellEnd"/>
      <w:r w:rsidRPr="007052E2">
        <w:rPr>
          <w:bCs/>
          <w:sz w:val="24"/>
          <w:szCs w:val="24"/>
        </w:rPr>
        <w:t>.</w:t>
      </w:r>
      <w:proofErr w:type="gramEnd"/>
      <w:r w:rsidRPr="007052E2">
        <w:rPr>
          <w:bCs/>
          <w:sz w:val="24"/>
          <w:szCs w:val="24"/>
        </w:rPr>
        <w:t xml:space="preserve"> Bu </w:t>
      </w:r>
      <w:proofErr w:type="spellStart"/>
      <w:r w:rsidRPr="007052E2">
        <w:rPr>
          <w:bCs/>
          <w:sz w:val="24"/>
          <w:szCs w:val="24"/>
        </w:rPr>
        <w:t>şunları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kapsar</w:t>
      </w:r>
      <w:proofErr w:type="spellEnd"/>
      <w:r w:rsidRPr="007052E2">
        <w:rPr>
          <w:bCs/>
          <w:sz w:val="24"/>
          <w:szCs w:val="24"/>
        </w:rPr>
        <w:t>:</w:t>
      </w:r>
    </w:p>
    <w:p w:rsidR="007052E2" w:rsidRPr="007052E2" w:rsidRDefault="007052E2" w:rsidP="007052E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İfade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verme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çapraz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sorgu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işlemi</w:t>
      </w:r>
      <w:proofErr w:type="spellEnd"/>
    </w:p>
    <w:p w:rsidR="007052E2" w:rsidRPr="007052E2" w:rsidRDefault="007052E2" w:rsidP="007052E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Mahkeme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salonunda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kimlerin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olacağı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kişilerin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rolleri</w:t>
      </w:r>
      <w:proofErr w:type="spellEnd"/>
    </w:p>
    <w:p w:rsidR="007052E2" w:rsidRPr="007052E2" w:rsidRDefault="007052E2" w:rsidP="007052E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Mahkemenin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nasıl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işlediği</w:t>
      </w:r>
      <w:proofErr w:type="spellEnd"/>
      <w:r w:rsidRPr="007052E2">
        <w:rPr>
          <w:sz w:val="24"/>
          <w:szCs w:val="24"/>
        </w:rPr>
        <w:t xml:space="preserve">      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ve</w:t>
      </w:r>
      <w:proofErr w:type="spellEnd"/>
      <w:proofErr w:type="gramEnd"/>
    </w:p>
    <w:p w:rsidR="007052E2" w:rsidRPr="007052E2" w:rsidRDefault="007052E2" w:rsidP="007052E2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Duruşma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sırasında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mağdurun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sanık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</w:t>
      </w:r>
      <w:proofErr w:type="spellStart"/>
      <w:r w:rsidRPr="007052E2">
        <w:rPr>
          <w:sz w:val="24"/>
          <w:szCs w:val="24"/>
        </w:rPr>
        <w:t>savunma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şahitleriyle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gereksiz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temastan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nasıl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korunacağı</w:t>
      </w:r>
      <w:proofErr w:type="spellEnd"/>
      <w:r w:rsidRPr="007052E2">
        <w:rPr>
          <w:sz w:val="24"/>
          <w:szCs w:val="24"/>
        </w:rPr>
        <w:t>.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Eğer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güvenliği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konusunda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herhangi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endişe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duyuyor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koruma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talep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ediyorsa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derhal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durumu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savcıya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iletecek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soruşturmayı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yürüten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memuruna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söylemelidir</w:t>
      </w:r>
      <w:proofErr w:type="spellEnd"/>
      <w:r w:rsidRPr="007052E2">
        <w:rPr>
          <w:sz w:val="24"/>
          <w:szCs w:val="24"/>
        </w:rPr>
        <w:t>.</w:t>
      </w:r>
      <w:proofErr w:type="gramEnd"/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Bazı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mahkemelerde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mağdurlar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tanıklar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ayrı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bekleme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odaları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vardır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gitmeden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önce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savcı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</w:t>
      </w:r>
      <w:proofErr w:type="spellStart"/>
      <w:r w:rsidRPr="007052E2">
        <w:rPr>
          <w:sz w:val="24"/>
          <w:szCs w:val="24"/>
        </w:rPr>
        <w:t>destek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sunacak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biriyle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buluşmak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saat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konusunda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anlaşabilir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Bu </w:t>
      </w:r>
      <w:proofErr w:type="spellStart"/>
      <w:proofErr w:type="gramStart"/>
      <w:r w:rsidRPr="007052E2">
        <w:rPr>
          <w:sz w:val="24"/>
          <w:szCs w:val="24"/>
        </w:rPr>
        <w:t>kişi</w:t>
      </w:r>
      <w:proofErr w:type="spellEnd"/>
      <w:proofErr w:type="gram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bekleyebileceği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güvenli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gösterebilir</w:t>
      </w:r>
      <w:proofErr w:type="spellEnd"/>
      <w:r w:rsidRPr="007052E2">
        <w:rPr>
          <w:sz w:val="24"/>
          <w:szCs w:val="24"/>
        </w:rPr>
        <w:t>.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Tanığın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gittiği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günler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harcamaları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karşılanabilir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  <w:proofErr w:type="gramStart"/>
      <w:r w:rsidRPr="007052E2">
        <w:rPr>
          <w:sz w:val="24"/>
          <w:szCs w:val="24"/>
        </w:rPr>
        <w:t xml:space="preserve">Bu </w:t>
      </w:r>
      <w:proofErr w:type="spellStart"/>
      <w:r w:rsidRPr="007052E2">
        <w:rPr>
          <w:sz w:val="24"/>
          <w:szCs w:val="24"/>
        </w:rPr>
        <w:t>harcamalar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yemek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ulaşım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kalacak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yer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harcamaları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olabilir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Ödeme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miktarı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tanıkların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bütün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harcama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kayıplarını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karşılamayı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amaçlamaz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Bu </w:t>
      </w:r>
      <w:proofErr w:type="spellStart"/>
      <w:r w:rsidRPr="007052E2">
        <w:rPr>
          <w:sz w:val="24"/>
          <w:szCs w:val="24"/>
        </w:rPr>
        <w:t>ödeneğin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amacı</w:t>
      </w:r>
      <w:proofErr w:type="spellEnd"/>
      <w:r w:rsidRPr="007052E2">
        <w:rPr>
          <w:sz w:val="24"/>
          <w:szCs w:val="24"/>
        </w:rPr>
        <w:t xml:space="preserve">,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gelmekten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doğan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proofErr w:type="gramStart"/>
      <w:r w:rsidRPr="007052E2">
        <w:rPr>
          <w:sz w:val="24"/>
          <w:szCs w:val="24"/>
        </w:rPr>
        <w:t>mali</w:t>
      </w:r>
      <w:proofErr w:type="spellEnd"/>
      <w:proofErr w:type="gram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zorluğu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hafifletmektir</w:t>
      </w:r>
      <w:proofErr w:type="spellEnd"/>
      <w:r w:rsidRPr="007052E2">
        <w:rPr>
          <w:sz w:val="24"/>
          <w:szCs w:val="24"/>
        </w:rPr>
        <w:t>.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Tanık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harcama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formu</w:t>
      </w:r>
      <w:proofErr w:type="spellEnd"/>
      <w:r w:rsidRPr="007052E2">
        <w:rPr>
          <w:sz w:val="24"/>
          <w:szCs w:val="24"/>
          <w:lang w:val="tr-TR"/>
        </w:rPr>
        <w:t>,</w:t>
      </w:r>
      <w:r w:rsidRPr="007052E2">
        <w:rPr>
          <w:sz w:val="24"/>
          <w:szCs w:val="24"/>
        </w:rPr>
        <w:t xml:space="preserve"> polis </w:t>
      </w:r>
      <w:proofErr w:type="spellStart"/>
      <w:proofErr w:type="gramStart"/>
      <w:r w:rsidRPr="007052E2">
        <w:rPr>
          <w:sz w:val="24"/>
          <w:szCs w:val="24"/>
        </w:rPr>
        <w:t>haber</w:t>
      </w:r>
      <w:proofErr w:type="spellEnd"/>
      <w:proofErr w:type="gram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kaynağı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/ </w:t>
      </w:r>
      <w:proofErr w:type="spellStart"/>
      <w:r w:rsidRPr="007052E2">
        <w:rPr>
          <w:sz w:val="24"/>
          <w:szCs w:val="24"/>
        </w:rPr>
        <w:t>veya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savcısı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</w:t>
      </w:r>
      <w:proofErr w:type="spellEnd"/>
      <w:r w:rsidRPr="007052E2">
        <w:rPr>
          <w:sz w:val="24"/>
          <w:szCs w:val="24"/>
        </w:rPr>
        <w:t xml:space="preserve"> / </w:t>
      </w:r>
      <w:proofErr w:type="spellStart"/>
      <w:r w:rsidRPr="007052E2">
        <w:rPr>
          <w:sz w:val="24"/>
          <w:szCs w:val="24"/>
        </w:rPr>
        <w:t>veya</w:t>
      </w:r>
      <w:proofErr w:type="spellEnd"/>
      <w:r w:rsidRPr="007052E2">
        <w:rPr>
          <w:sz w:val="24"/>
          <w:szCs w:val="24"/>
        </w:rPr>
        <w:t xml:space="preserve"> ODPP </w:t>
      </w:r>
      <w:proofErr w:type="spellStart"/>
      <w:r w:rsidRPr="007052E2">
        <w:rPr>
          <w:sz w:val="24"/>
          <w:szCs w:val="24"/>
        </w:rPr>
        <w:t>savcısı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tarafından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görevlisine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verilmeden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önce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onaylanmalıdır</w:t>
      </w:r>
      <w:proofErr w:type="spellEnd"/>
      <w:r w:rsidRPr="007052E2">
        <w:rPr>
          <w:sz w:val="24"/>
          <w:szCs w:val="24"/>
        </w:rPr>
        <w:t xml:space="preserve">.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İfade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verdikten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sonra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ofisine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gidip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ödeme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onaylanmış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formu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vermelisiniz</w:t>
      </w:r>
      <w:proofErr w:type="spellEnd"/>
      <w:r w:rsidRPr="007052E2">
        <w:rPr>
          <w:sz w:val="24"/>
          <w:szCs w:val="24"/>
        </w:rPr>
        <w:t>.</w:t>
      </w:r>
      <w:proofErr w:type="gramEnd"/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052E2">
        <w:rPr>
          <w:sz w:val="24"/>
          <w:szCs w:val="24"/>
        </w:rPr>
        <w:t>Tanıklar</w:t>
      </w:r>
      <w:proofErr w:type="spellEnd"/>
      <w:r w:rsidRPr="007052E2">
        <w:rPr>
          <w:sz w:val="24"/>
          <w:szCs w:val="24"/>
        </w:rPr>
        <w:t xml:space="preserve"> polis </w:t>
      </w:r>
      <w:proofErr w:type="spellStart"/>
      <w:r w:rsidRPr="007052E2">
        <w:rPr>
          <w:sz w:val="24"/>
          <w:szCs w:val="24"/>
        </w:rPr>
        <w:t>ya</w:t>
      </w:r>
      <w:proofErr w:type="spellEnd"/>
      <w:r w:rsidRPr="007052E2">
        <w:rPr>
          <w:sz w:val="24"/>
          <w:szCs w:val="24"/>
        </w:rPr>
        <w:t xml:space="preserve"> da ODPP </w:t>
      </w:r>
      <w:proofErr w:type="spellStart"/>
      <w:r w:rsidRPr="007052E2">
        <w:rPr>
          <w:sz w:val="24"/>
          <w:szCs w:val="24"/>
        </w:rPr>
        <w:t>savcısını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duruşmadan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çok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önce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mahkemeye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gitmek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paraya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ihtiyaçları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olduğu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konusunda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bilgilendirmelidir</w:t>
      </w:r>
      <w:proofErr w:type="spellEnd"/>
      <w:r w:rsidRPr="007052E2">
        <w:rPr>
          <w:sz w:val="24"/>
          <w:szCs w:val="24"/>
        </w:rPr>
        <w:t>.</w:t>
      </w:r>
      <w:proofErr w:type="gramEnd"/>
      <w:r w:rsidRPr="007052E2">
        <w:rPr>
          <w:sz w:val="24"/>
          <w:szCs w:val="24"/>
        </w:rPr>
        <w:t xml:space="preserve"> 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t>Daha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fazla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bilgi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için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lütfen</w:t>
      </w:r>
      <w:proofErr w:type="spellEnd"/>
      <w:r w:rsidRPr="007052E2">
        <w:rPr>
          <w:sz w:val="24"/>
          <w:szCs w:val="24"/>
        </w:rPr>
        <w:t xml:space="preserve"> </w:t>
      </w:r>
      <w:r w:rsidRPr="007052E2">
        <w:rPr>
          <w:bCs/>
          <w:sz w:val="24"/>
          <w:szCs w:val="24"/>
        </w:rPr>
        <w:t xml:space="preserve">(02) 9285 8606’yı </w:t>
      </w:r>
      <w:proofErr w:type="spellStart"/>
      <w:r w:rsidRPr="007052E2">
        <w:rPr>
          <w:bCs/>
          <w:sz w:val="24"/>
          <w:szCs w:val="24"/>
        </w:rPr>
        <w:t>arayın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veya</w:t>
      </w:r>
      <w:proofErr w:type="spellEnd"/>
      <w:r w:rsidRPr="007052E2">
        <w:rPr>
          <w:bCs/>
          <w:sz w:val="24"/>
          <w:szCs w:val="24"/>
        </w:rPr>
        <w:t xml:space="preserve">  </w:t>
      </w:r>
      <w:hyperlink r:id="rId6" w:history="1">
        <w:r>
          <w:rPr>
            <w:rStyle w:val="Hyperlink"/>
            <w:bCs/>
            <w:sz w:val="24"/>
            <w:szCs w:val="24"/>
          </w:rPr>
          <w:t>Visit the Office of the Director of Public Prosecutions website</w:t>
        </w:r>
      </w:hyperlink>
      <w:r w:rsidRPr="007052E2">
        <w:rPr>
          <w:bCs/>
          <w:sz w:val="24"/>
          <w:szCs w:val="24"/>
        </w:rPr>
        <w:t xml:space="preserve"> internet </w:t>
      </w:r>
      <w:proofErr w:type="spellStart"/>
      <w:r w:rsidRPr="007052E2">
        <w:rPr>
          <w:bCs/>
          <w:sz w:val="24"/>
          <w:szCs w:val="24"/>
        </w:rPr>
        <w:t>sitesini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ziyaret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edip</w:t>
      </w:r>
      <w:proofErr w:type="spellEnd"/>
      <w:r w:rsidRPr="007052E2">
        <w:rPr>
          <w:bCs/>
          <w:sz w:val="24"/>
          <w:szCs w:val="24"/>
        </w:rPr>
        <w:t xml:space="preserve">  Witness </w:t>
      </w:r>
      <w:proofErr w:type="spellStart"/>
      <w:r w:rsidRPr="007052E2">
        <w:rPr>
          <w:bCs/>
          <w:sz w:val="24"/>
          <w:szCs w:val="24"/>
        </w:rPr>
        <w:t>ve</w:t>
      </w:r>
      <w:proofErr w:type="spellEnd"/>
      <w:r w:rsidRPr="007052E2">
        <w:rPr>
          <w:bCs/>
          <w:sz w:val="24"/>
          <w:szCs w:val="24"/>
        </w:rPr>
        <w:t xml:space="preserve"> Victims Services, Witness Assistance Service  </w:t>
      </w:r>
      <w:proofErr w:type="spellStart"/>
      <w:r w:rsidRPr="007052E2">
        <w:rPr>
          <w:bCs/>
          <w:sz w:val="24"/>
          <w:szCs w:val="24"/>
        </w:rPr>
        <w:t>bağlantısına</w:t>
      </w:r>
      <w:proofErr w:type="spellEnd"/>
      <w:r w:rsidRPr="007052E2">
        <w:rPr>
          <w:bCs/>
          <w:sz w:val="24"/>
          <w:szCs w:val="24"/>
        </w:rPr>
        <w:t xml:space="preserve"> </w:t>
      </w:r>
      <w:proofErr w:type="spellStart"/>
      <w:r w:rsidRPr="007052E2">
        <w:rPr>
          <w:bCs/>
          <w:sz w:val="24"/>
          <w:szCs w:val="24"/>
        </w:rPr>
        <w:t>bakın</w:t>
      </w:r>
      <w:proofErr w:type="spellEnd"/>
      <w:r w:rsidRPr="007052E2">
        <w:rPr>
          <w:bCs/>
          <w:sz w:val="24"/>
          <w:szCs w:val="24"/>
        </w:rPr>
        <w:t>.</w:t>
      </w:r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  <w:proofErr w:type="spellStart"/>
      <w:r w:rsidRPr="007052E2">
        <w:rPr>
          <w:sz w:val="24"/>
          <w:szCs w:val="24"/>
        </w:rPr>
        <w:lastRenderedPageBreak/>
        <w:t>Suç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mağdurlarına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ilişkin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daha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ayrıntılı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bilgiyi</w:t>
      </w:r>
      <w:proofErr w:type="spellEnd"/>
      <w:r w:rsidRPr="007052E2">
        <w:rPr>
          <w:sz w:val="24"/>
          <w:szCs w:val="24"/>
        </w:rPr>
        <w:t xml:space="preserve"> NSW Polis </w:t>
      </w:r>
      <w:proofErr w:type="spellStart"/>
      <w:r w:rsidRPr="007052E2">
        <w:rPr>
          <w:sz w:val="24"/>
          <w:szCs w:val="24"/>
        </w:rPr>
        <w:t>Kuvvetleri</w:t>
      </w:r>
      <w:proofErr w:type="spellEnd"/>
      <w:r w:rsidRPr="007052E2"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adresindeki</w:t>
      </w:r>
      <w:proofErr w:type="spellEnd"/>
      <w:r w:rsidRPr="007052E2">
        <w:rPr>
          <w:sz w:val="24"/>
          <w:szCs w:val="24"/>
        </w:rPr>
        <w:t xml:space="preserve"> internet </w:t>
      </w:r>
      <w:proofErr w:type="spellStart"/>
      <w:r w:rsidRPr="007052E2">
        <w:rPr>
          <w:sz w:val="24"/>
          <w:szCs w:val="24"/>
        </w:rPr>
        <w:t>sitesinden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edinebilirsiniz</w:t>
      </w:r>
      <w:proofErr w:type="spellEnd"/>
      <w:r w:rsidRPr="007052E2">
        <w:rPr>
          <w:sz w:val="24"/>
          <w:szCs w:val="24"/>
        </w:rPr>
        <w:t xml:space="preserve">. </w:t>
      </w:r>
      <w:proofErr w:type="spellStart"/>
      <w:proofErr w:type="gramStart"/>
      <w:r w:rsidRPr="007052E2">
        <w:rPr>
          <w:sz w:val="24"/>
          <w:szCs w:val="24"/>
        </w:rPr>
        <w:t>Teşekkür</w:t>
      </w:r>
      <w:proofErr w:type="spellEnd"/>
      <w:r w:rsidRPr="007052E2">
        <w:rPr>
          <w:sz w:val="24"/>
          <w:szCs w:val="24"/>
        </w:rPr>
        <w:t xml:space="preserve"> </w:t>
      </w:r>
      <w:proofErr w:type="spellStart"/>
      <w:r w:rsidRPr="007052E2">
        <w:rPr>
          <w:sz w:val="24"/>
          <w:szCs w:val="24"/>
        </w:rPr>
        <w:t>ederiz</w:t>
      </w:r>
      <w:proofErr w:type="spellEnd"/>
      <w:r w:rsidRPr="007052E2">
        <w:rPr>
          <w:sz w:val="24"/>
          <w:szCs w:val="24"/>
        </w:rPr>
        <w:t>.</w:t>
      </w:r>
      <w:proofErr w:type="gramEnd"/>
    </w:p>
    <w:p w:rsidR="007052E2" w:rsidRPr="007052E2" w:rsidRDefault="007052E2" w:rsidP="007052E2">
      <w:pPr>
        <w:spacing w:after="0" w:line="240" w:lineRule="auto"/>
        <w:rPr>
          <w:sz w:val="24"/>
          <w:szCs w:val="24"/>
        </w:rPr>
      </w:pPr>
    </w:p>
    <w:p w:rsidR="007052E2" w:rsidRPr="007052E2" w:rsidRDefault="007052E2" w:rsidP="007052E2">
      <w:pPr>
        <w:spacing w:line="240" w:lineRule="auto"/>
      </w:pPr>
    </w:p>
    <w:p w:rsidR="007052E2" w:rsidRDefault="007052E2" w:rsidP="007052E2">
      <w:pPr>
        <w:spacing w:line="240" w:lineRule="auto"/>
      </w:pPr>
    </w:p>
    <w:p w:rsidR="007052E2" w:rsidRDefault="007052E2" w:rsidP="007052E2"/>
    <w:p w:rsidR="007052E2" w:rsidRPr="007052E2" w:rsidRDefault="007052E2" w:rsidP="007052E2">
      <w:pPr>
        <w:rPr>
          <w:lang w:val="tr-TR"/>
        </w:rPr>
      </w:pPr>
    </w:p>
    <w:sectPr w:rsidR="007052E2" w:rsidRPr="007052E2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123F2C"/>
    <w:rsid w:val="00153A8E"/>
    <w:rsid w:val="00204086"/>
    <w:rsid w:val="00211E1F"/>
    <w:rsid w:val="002408BF"/>
    <w:rsid w:val="0029025A"/>
    <w:rsid w:val="002C593B"/>
    <w:rsid w:val="00320367"/>
    <w:rsid w:val="00353E63"/>
    <w:rsid w:val="00362F2B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B21FA"/>
    <w:rsid w:val="00916757"/>
    <w:rsid w:val="0093508D"/>
    <w:rsid w:val="0095345B"/>
    <w:rsid w:val="009D4FC4"/>
    <w:rsid w:val="009E39FC"/>
    <w:rsid w:val="00A553C1"/>
    <w:rsid w:val="00AC1891"/>
    <w:rsid w:val="00B57DFD"/>
    <w:rsid w:val="00C463D3"/>
    <w:rsid w:val="00C5173A"/>
    <w:rsid w:val="00D5704F"/>
    <w:rsid w:val="00D85FE8"/>
    <w:rsid w:val="00D8761A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p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3367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7 – Mahkemeye Katılma</dc:title>
  <dc:subject/>
  <dc:creator>John Golubic</dc:creator>
  <cp:keywords/>
  <dc:description/>
  <cp:lastModifiedBy>n2001866</cp:lastModifiedBy>
  <cp:revision>2</cp:revision>
  <cp:lastPrinted>2014-07-02T06:47:00Z</cp:lastPrinted>
  <dcterms:created xsi:type="dcterms:W3CDTF">2014-09-02T03:23:00Z</dcterms:created>
  <dcterms:modified xsi:type="dcterms:W3CDTF">2014-09-02T03:23:00Z</dcterms:modified>
</cp:coreProperties>
</file>