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B26406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777A44" w:rsidRDefault="00B26406" w:rsidP="00B26406">
      <w:pPr>
        <w:pStyle w:val="Heading2"/>
        <w:spacing w:before="0" w:after="0"/>
        <w:rPr>
          <w:rFonts w:eastAsia="SimSun"/>
        </w:rPr>
      </w:pPr>
      <w:bookmarkStart w:id="0" w:name="OLE_LINK25"/>
      <w:bookmarkStart w:id="1" w:name="OLE_LINK26"/>
      <w:proofErr w:type="spellStart"/>
      <w:r w:rsidRPr="00B26406">
        <w:rPr>
          <w:rFonts w:eastAsia="SimSun"/>
        </w:rPr>
        <w:t>Tờ</w:t>
      </w:r>
      <w:proofErr w:type="spellEnd"/>
      <w:r w:rsidRPr="00B26406">
        <w:rPr>
          <w:rFonts w:eastAsia="SimSun"/>
        </w:rPr>
        <w:t xml:space="preserve"> </w:t>
      </w:r>
      <w:proofErr w:type="spellStart"/>
      <w:r w:rsidRPr="00B26406">
        <w:rPr>
          <w:rFonts w:eastAsia="SimSun"/>
        </w:rPr>
        <w:t>Dữ</w:t>
      </w:r>
      <w:proofErr w:type="spellEnd"/>
      <w:r w:rsidRPr="00B26406">
        <w:rPr>
          <w:rFonts w:eastAsia="SimSun"/>
        </w:rPr>
        <w:t xml:space="preserve"> </w:t>
      </w:r>
      <w:proofErr w:type="spellStart"/>
      <w:r w:rsidRPr="00B26406">
        <w:rPr>
          <w:rFonts w:eastAsia="SimSun"/>
        </w:rPr>
        <w:t>kiện</w:t>
      </w:r>
      <w:proofErr w:type="spellEnd"/>
      <w:r w:rsidRPr="00B26406">
        <w:rPr>
          <w:rFonts w:eastAsia="SimSun"/>
        </w:rPr>
        <w:t xml:space="preserve"> 6-Quá </w:t>
      </w:r>
      <w:proofErr w:type="spellStart"/>
      <w:r w:rsidRPr="00B26406">
        <w:rPr>
          <w:rFonts w:eastAsia="SimSun"/>
        </w:rPr>
        <w:t>trình</w:t>
      </w:r>
      <w:proofErr w:type="spellEnd"/>
      <w:r w:rsidRPr="00B26406">
        <w:rPr>
          <w:rFonts w:eastAsia="SimSun"/>
        </w:rPr>
        <w:t xml:space="preserve"> </w:t>
      </w:r>
      <w:proofErr w:type="spellStart"/>
      <w:r w:rsidRPr="00B26406">
        <w:rPr>
          <w:rFonts w:eastAsia="SimSun"/>
        </w:rPr>
        <w:t>Điều</w:t>
      </w:r>
      <w:proofErr w:type="spellEnd"/>
      <w:r w:rsidRPr="00B26406">
        <w:rPr>
          <w:rFonts w:eastAsia="SimSun"/>
        </w:rPr>
        <w:t xml:space="preserve"> </w:t>
      </w:r>
      <w:proofErr w:type="spellStart"/>
      <w:r w:rsidRPr="00B26406">
        <w:rPr>
          <w:rFonts w:eastAsia="SimSun"/>
        </w:rPr>
        <w:t>tra</w:t>
      </w:r>
      <w:proofErr w:type="spellEnd"/>
    </w:p>
    <w:bookmarkEnd w:id="0"/>
    <w:bookmarkEnd w:id="1"/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trong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vai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trò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Lực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lượng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NSW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truy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tố</w:t>
      </w:r>
      <w:proofErr w:type="spellEnd"/>
      <w:r w:rsidRPr="00B26406">
        <w:rPr>
          <w:sz w:val="24"/>
          <w:szCs w:val="24"/>
        </w:rPr>
        <w:t xml:space="preserve"> can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proofErr w:type="gram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tuần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hàng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tháng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hoặc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thậm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lâu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hơn</w:t>
      </w:r>
      <w:proofErr w:type="spellEnd"/>
      <w:r w:rsidRPr="00B26406">
        <w:rPr>
          <w:sz w:val="24"/>
          <w:szCs w:val="24"/>
        </w:rPr>
        <w:t>.</w:t>
      </w:r>
      <w:proofErr w:type="gramEnd"/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mặc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đồng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phục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thường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mặt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trường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trong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số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trường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hợp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vấn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chuyển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tử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phụ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trách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Trong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suốt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quá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ban </w:t>
      </w:r>
      <w:proofErr w:type="spellStart"/>
      <w:r w:rsidRPr="00B26406">
        <w:rPr>
          <w:sz w:val="24"/>
          <w:szCs w:val="24"/>
        </w:rPr>
        <w:t>đầu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phỏng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vấn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chứng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lưu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chi </w:t>
      </w:r>
      <w:proofErr w:type="spellStart"/>
      <w:r w:rsidRPr="00B26406">
        <w:rPr>
          <w:sz w:val="24"/>
          <w:szCs w:val="24"/>
        </w:rPr>
        <w:t>tiết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thẩm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cần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vệ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thu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thập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chứng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cứ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chất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Lệnh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vệ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luôn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sẵn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đảm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an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toàn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Bằng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phép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kiểm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tư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trường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quý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giúp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quá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hưởng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liệu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tục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không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dựa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trên</w:t>
      </w:r>
      <w:proofErr w:type="spellEnd"/>
      <w:r w:rsidRPr="00B26406">
        <w:rPr>
          <w:sz w:val="24"/>
          <w:szCs w:val="24"/>
        </w:rPr>
        <w:t xml:space="preserve">: </w:t>
      </w:r>
      <w:proofErr w:type="spellStart"/>
      <w:r w:rsidRPr="00B26406">
        <w:rPr>
          <w:sz w:val="24"/>
          <w:szCs w:val="24"/>
        </w:rPr>
        <w:t>bản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hoàn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khả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năng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giải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quyết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vi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cộng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đồng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tục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bằng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cấp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sao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khai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Lời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khai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đánh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máy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theo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xảy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luôn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triển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trừ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năng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gây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nguy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hiểm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cần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thay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đổi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chi </w:t>
      </w:r>
      <w:proofErr w:type="spellStart"/>
      <w:r w:rsidRPr="00B26406">
        <w:rPr>
          <w:sz w:val="24"/>
          <w:szCs w:val="24"/>
        </w:rPr>
        <w:t>tiết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duy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hoặc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lý</w:t>
      </w:r>
      <w:proofErr w:type="spellEnd"/>
      <w:r w:rsidRPr="00B26406">
        <w:rPr>
          <w:sz w:val="24"/>
          <w:szCs w:val="24"/>
        </w:rPr>
        <w:t xml:space="preserve"> do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gian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điểm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>.</w:t>
      </w:r>
      <w:proofErr w:type="gramEnd"/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gramStart"/>
      <w:r w:rsidRPr="00B26406">
        <w:rPr>
          <w:sz w:val="24"/>
          <w:szCs w:val="24"/>
        </w:rPr>
        <w:t xml:space="preserve">Cho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tự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tố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tụng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quyết</w:t>
      </w:r>
      <w:proofErr w:type="spellEnd"/>
      <w:r w:rsidRPr="00B26406">
        <w:rPr>
          <w:sz w:val="24"/>
          <w:szCs w:val="24"/>
        </w:rPr>
        <w:t xml:space="preserve"> (</w:t>
      </w:r>
      <w:proofErr w:type="spell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)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đặt</w:t>
      </w:r>
      <w:proofErr w:type="spellEnd"/>
      <w:r w:rsidRPr="00B26406">
        <w:rPr>
          <w:sz w:val="24"/>
          <w:szCs w:val="24"/>
        </w:rPr>
        <w:t>.</w:t>
      </w:r>
      <w:proofErr w:type="gramEnd"/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nghiêm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trọng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quan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dục</w:t>
      </w:r>
      <w:proofErr w:type="spellEnd"/>
      <w:r w:rsidRPr="00B26406">
        <w:rPr>
          <w:sz w:val="24"/>
          <w:szCs w:val="24"/>
        </w:rPr>
        <w:t xml:space="preserve">, hay </w:t>
      </w:r>
      <w:proofErr w:type="spellStart"/>
      <w:r w:rsidRPr="00B26406">
        <w:rPr>
          <w:sz w:val="24"/>
          <w:szCs w:val="24"/>
        </w:rPr>
        <w:t>dẫn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thương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tích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thực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>/</w:t>
      </w:r>
      <w:proofErr w:type="spellStart"/>
      <w:r w:rsidRPr="00B26406">
        <w:rPr>
          <w:sz w:val="24"/>
          <w:szCs w:val="24"/>
        </w:rPr>
        <w:t>hoặc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dẫn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đau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ốm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thần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phải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tham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vấn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trước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quyết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thay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đổi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không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tục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Sau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can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bắt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gọi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phóng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thích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>.</w:t>
      </w:r>
      <w:proofErr w:type="gramEnd"/>
      <w:r w:rsidRPr="00B26406">
        <w:rPr>
          <w:sz w:val="24"/>
          <w:szCs w:val="24"/>
        </w:rPr>
        <w:t xml:space="preserve">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Hoặc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phóng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thích</w:t>
      </w:r>
      <w:proofErr w:type="spellEnd"/>
      <w:r w:rsidRPr="00B26406">
        <w:rPr>
          <w:sz w:val="24"/>
          <w:szCs w:val="24"/>
        </w:rPr>
        <w:t xml:space="preserve"> do </w:t>
      </w:r>
      <w:proofErr w:type="spellStart"/>
      <w:r w:rsidRPr="00B26406">
        <w:rPr>
          <w:sz w:val="24"/>
          <w:szCs w:val="24"/>
        </w:rPr>
        <w:t>nộp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tiền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lãnh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proofErr w:type="gram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chứng</w:t>
      </w:r>
      <w:proofErr w:type="spellEnd"/>
      <w:r w:rsidRPr="00B26406">
        <w:rPr>
          <w:sz w:val="24"/>
          <w:szCs w:val="24"/>
        </w:rPr>
        <w:t xml:space="preserve"> lo </w:t>
      </w:r>
      <w:proofErr w:type="spellStart"/>
      <w:r w:rsidRPr="00B26406">
        <w:rPr>
          <w:sz w:val="24"/>
          <w:szCs w:val="24"/>
        </w:rPr>
        <w:t>sợ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an </w:t>
      </w:r>
      <w:proofErr w:type="spellStart"/>
      <w:r w:rsidRPr="00B26406">
        <w:rPr>
          <w:sz w:val="24"/>
          <w:szCs w:val="24"/>
        </w:rPr>
        <w:t>toàn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mình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tố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đảm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xem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xét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đến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thẩm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xin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ngoại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>.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ngoại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án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đặt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bắt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giữ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Hoặc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lưu</w:t>
      </w:r>
      <w:proofErr w:type="spellEnd"/>
      <w:r w:rsidRPr="00B26406">
        <w:rPr>
          <w:sz w:val="24"/>
          <w:szCs w:val="24"/>
        </w:rPr>
        <w:t xml:space="preserve"> – </w:t>
      </w:r>
      <w:proofErr w:type="spellStart"/>
      <w:r w:rsidRPr="00B26406">
        <w:rPr>
          <w:sz w:val="24"/>
          <w:szCs w:val="24"/>
        </w:rPr>
        <w:t>còn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gọi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giam</w:t>
      </w:r>
      <w:proofErr w:type="spellEnd"/>
      <w:r w:rsidRPr="00B26406">
        <w:rPr>
          <w:sz w:val="24"/>
          <w:szCs w:val="24"/>
        </w:rPr>
        <w:t xml:space="preserve"> –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vấn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trước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quyết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tiếp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tục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chấm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dứt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proofErr w:type="gram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quan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trọng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ngay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từ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khai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thừa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nhận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cần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phải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cấp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chứng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cứ</w:t>
      </w:r>
      <w:proofErr w:type="spellEnd"/>
      <w:r w:rsidRPr="00B26406">
        <w:rPr>
          <w:sz w:val="24"/>
          <w:szCs w:val="24"/>
        </w:rPr>
        <w:t>.</w:t>
      </w:r>
      <w:proofErr w:type="gramEnd"/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kết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quả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xin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ngoại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đặc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biệt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đã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xâm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dục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nghiêm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trọng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lastRenderedPageBreak/>
        <w:t>khác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cung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cấp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khuyên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gì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họ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ngoại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hầu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mình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Tùy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thuộc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bản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</w:t>
      </w:r>
      <w:proofErr w:type="gramStart"/>
      <w:r w:rsidRPr="00B26406">
        <w:rPr>
          <w:sz w:val="24"/>
          <w:szCs w:val="24"/>
        </w:rPr>
        <w:t>vi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thay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thế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tòa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lý</w:t>
      </w:r>
      <w:proofErr w:type="spellEnd"/>
      <w:r w:rsidRPr="00B26406">
        <w:rPr>
          <w:sz w:val="24"/>
          <w:szCs w:val="24"/>
        </w:rPr>
        <w:t xml:space="preserve"> can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. </w:t>
      </w:r>
      <w:proofErr w:type="spellStart"/>
      <w:proofErr w:type="gram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lựa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chọn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phải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ứng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tiêu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cụ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trước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xem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xét</w:t>
      </w:r>
      <w:proofErr w:type="spellEnd"/>
      <w:r w:rsidRPr="00B26406">
        <w:rPr>
          <w:sz w:val="24"/>
          <w:szCs w:val="24"/>
        </w:rPr>
        <w:t>.</w:t>
      </w:r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lựa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chọn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bao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gồm</w:t>
      </w:r>
      <w:proofErr w:type="spellEnd"/>
      <w:r w:rsidRPr="00B26406">
        <w:rPr>
          <w:sz w:val="24"/>
          <w:szCs w:val="24"/>
        </w:rPr>
        <w:t>:</w:t>
      </w:r>
    </w:p>
    <w:p w:rsidR="00B26406" w:rsidRPr="00B26406" w:rsidRDefault="00B26406" w:rsidP="00B26406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Giấy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Hình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giấy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chỗ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số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vi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nhất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</w:p>
    <w:p w:rsidR="00B26406" w:rsidRPr="00B26406" w:rsidRDefault="00B26406" w:rsidP="00B26406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Tuyên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án</w:t>
      </w:r>
      <w:proofErr w:type="spellEnd"/>
      <w:r w:rsidRPr="00B26406">
        <w:rPr>
          <w:sz w:val="24"/>
          <w:szCs w:val="24"/>
        </w:rPr>
        <w:t xml:space="preserve"> qua </w:t>
      </w:r>
      <w:proofErr w:type="spellStart"/>
      <w:r w:rsidRPr="00B26406">
        <w:rPr>
          <w:sz w:val="24"/>
          <w:szCs w:val="24"/>
        </w:rPr>
        <w:t>Diễn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đàn</w:t>
      </w:r>
      <w:proofErr w:type="spellEnd"/>
      <w:r w:rsidRPr="00B26406">
        <w:rPr>
          <w:sz w:val="24"/>
          <w:szCs w:val="24"/>
        </w:rPr>
        <w:t xml:space="preserve"> –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hòa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giải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giữa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</w:p>
    <w:p w:rsidR="00B26406" w:rsidRPr="00B26406" w:rsidRDefault="00B26406" w:rsidP="00B26406">
      <w:p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B26406">
        <w:rPr>
          <w:sz w:val="24"/>
          <w:szCs w:val="24"/>
        </w:rPr>
        <w:t>và</w:t>
      </w:r>
      <w:proofErr w:type="spellEnd"/>
      <w:proofErr w:type="gramEnd"/>
    </w:p>
    <w:p w:rsidR="00B26406" w:rsidRPr="00B26406" w:rsidRDefault="00B26406" w:rsidP="00B26406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Tuyên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án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Vòng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tuyên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dụng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đối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những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nghiêm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trọng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người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lớn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Thổ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dân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lần</w:t>
      </w:r>
      <w:proofErr w:type="spellEnd"/>
      <w:r w:rsidRPr="00B26406">
        <w:rPr>
          <w:sz w:val="24"/>
          <w:szCs w:val="24"/>
        </w:rPr>
        <w:t>.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thiếu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còn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thể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theo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Luật</w:t>
      </w:r>
      <w:proofErr w:type="spellEnd"/>
      <w:r w:rsidRPr="00B26406">
        <w:rPr>
          <w:i/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Thiếu</w:t>
      </w:r>
      <w:proofErr w:type="spellEnd"/>
      <w:r w:rsidRPr="00B26406">
        <w:rPr>
          <w:i/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niên</w:t>
      </w:r>
      <w:proofErr w:type="spellEnd"/>
      <w:r w:rsidRPr="00B26406">
        <w:rPr>
          <w:i/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Phạm</w:t>
      </w:r>
      <w:proofErr w:type="spellEnd"/>
      <w:r w:rsidRPr="00B26406">
        <w:rPr>
          <w:i/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pháp</w:t>
      </w:r>
      <w:proofErr w:type="spellEnd"/>
      <w:r w:rsidRPr="00B26406">
        <w:rPr>
          <w:i/>
          <w:sz w:val="24"/>
          <w:szCs w:val="24"/>
        </w:rPr>
        <w:t xml:space="preserve"> </w:t>
      </w:r>
      <w:proofErr w:type="spellStart"/>
      <w:r w:rsidRPr="00B26406">
        <w:rPr>
          <w:i/>
          <w:sz w:val="24"/>
          <w:szCs w:val="24"/>
        </w:rPr>
        <w:t>Năm</w:t>
      </w:r>
      <w:proofErr w:type="spellEnd"/>
      <w:r w:rsidRPr="00B26406">
        <w:rPr>
          <w:i/>
          <w:sz w:val="24"/>
          <w:szCs w:val="24"/>
        </w:rPr>
        <w:t xml:space="preserve"> 1997</w:t>
      </w:r>
      <w:r w:rsidRPr="00B26406">
        <w:rPr>
          <w:sz w:val="24"/>
          <w:szCs w:val="24"/>
        </w:rPr>
        <w:t xml:space="preserve">. </w:t>
      </w:r>
      <w:proofErr w:type="spellStart"/>
      <w:r w:rsidRPr="00B26406">
        <w:rPr>
          <w:sz w:val="24"/>
          <w:szCs w:val="24"/>
        </w:rPr>
        <w:t>Luật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này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dụng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nhiều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hành</w:t>
      </w:r>
      <w:proofErr w:type="spellEnd"/>
      <w:r w:rsidRPr="00B26406">
        <w:rPr>
          <w:sz w:val="24"/>
          <w:szCs w:val="24"/>
        </w:rPr>
        <w:t xml:space="preserve"> vi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sự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lựa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chọn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về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xử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lý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thiếu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bằng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thức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một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chính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thức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bằng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nghị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họp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với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thiếu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niên</w:t>
      </w:r>
      <w:proofErr w:type="spellEnd"/>
      <w:r w:rsidRPr="00B26406">
        <w:rPr>
          <w:sz w:val="24"/>
          <w:szCs w:val="24"/>
        </w:rPr>
        <w:t xml:space="preserve">. 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Mức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độ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thương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tích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gây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ra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yếu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tố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được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xem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xét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khi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xác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liệu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việc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khởi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kiện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là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hợp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lý</w:t>
      </w:r>
      <w:proofErr w:type="spellEnd"/>
      <w:r w:rsidRPr="00B26406">
        <w:rPr>
          <w:sz w:val="24"/>
          <w:szCs w:val="24"/>
        </w:rPr>
        <w:t xml:space="preserve"> hay </w:t>
      </w:r>
      <w:proofErr w:type="spellStart"/>
      <w:r w:rsidRPr="00B26406">
        <w:rPr>
          <w:sz w:val="24"/>
          <w:szCs w:val="24"/>
        </w:rPr>
        <w:t>không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theo</w:t>
      </w:r>
      <w:proofErr w:type="spellEnd"/>
      <w:proofErr w:type="gram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Luật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Thiếu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niên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pháp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Năm</w:t>
      </w:r>
      <w:proofErr w:type="spellEnd"/>
      <w:r w:rsidRPr="00B26406">
        <w:rPr>
          <w:sz w:val="24"/>
          <w:szCs w:val="24"/>
        </w:rPr>
        <w:t xml:space="preserve"> 1997</w:t>
      </w:r>
      <w:r w:rsidRPr="00B26406">
        <w:rPr>
          <w:rFonts w:ascii="MS Gothic" w:eastAsia="MS Gothic" w:hAnsi="MS Gothic" w:cs="MS Gothic" w:hint="eastAsia"/>
          <w:sz w:val="24"/>
          <w:szCs w:val="24"/>
        </w:rPr>
        <w:t>。</w:t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r w:rsidRPr="00B26406">
        <w:rPr>
          <w:sz w:val="24"/>
          <w:szCs w:val="24"/>
        </w:rPr>
        <w:t>Thông</w:t>
      </w:r>
      <w:proofErr w:type="spellEnd"/>
      <w:r w:rsidRPr="00B26406">
        <w:rPr>
          <w:sz w:val="24"/>
          <w:szCs w:val="24"/>
        </w:rPr>
        <w:t xml:space="preserve"> tin </w:t>
      </w:r>
      <w:proofErr w:type="spellStart"/>
      <w:r w:rsidRPr="00B26406">
        <w:rPr>
          <w:sz w:val="24"/>
          <w:szCs w:val="24"/>
        </w:rPr>
        <w:t>thêm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dành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cho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nạn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nhân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tội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phạm</w:t>
      </w:r>
      <w:proofErr w:type="spellEnd"/>
      <w:r w:rsidRPr="00B26406">
        <w:rPr>
          <w:sz w:val="24"/>
          <w:szCs w:val="24"/>
        </w:rPr>
        <w:t xml:space="preserve">, </w:t>
      </w:r>
      <w:proofErr w:type="spellStart"/>
      <w:r w:rsidRPr="00B26406">
        <w:rPr>
          <w:sz w:val="24"/>
          <w:szCs w:val="24"/>
        </w:rPr>
        <w:t>luôn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sẵn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có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bằng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cách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truy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cập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trang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mạng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của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Lực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lượng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Cảnh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sát</w:t>
      </w:r>
      <w:proofErr w:type="spellEnd"/>
      <w:r w:rsidRPr="00B26406">
        <w:rPr>
          <w:sz w:val="24"/>
          <w:szCs w:val="24"/>
        </w:rPr>
        <w:t xml:space="preserve"> NSW </w:t>
      </w:r>
      <w:proofErr w:type="spellStart"/>
      <w:r w:rsidRPr="00B26406">
        <w:rPr>
          <w:sz w:val="24"/>
          <w:szCs w:val="24"/>
        </w:rPr>
        <w:t>tại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địa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proofErr w:type="gramStart"/>
      <w:r w:rsidRPr="00B26406">
        <w:rPr>
          <w:sz w:val="24"/>
          <w:szCs w:val="24"/>
        </w:rPr>
        <w:t>chỉ</w:t>
      </w:r>
      <w:proofErr w:type="spellEnd"/>
      <w:r w:rsidRPr="00B26406">
        <w:rPr>
          <w:sz w:val="24"/>
          <w:szCs w:val="24"/>
        </w:rPr>
        <w:t xml:space="preserve">  </w:t>
      </w:r>
      <w:proofErr w:type="gramEnd"/>
      <w:r w:rsidRPr="00B26406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B26406">
        <w:rPr>
          <w:sz w:val="24"/>
          <w:szCs w:val="24"/>
        </w:rPr>
      </w:r>
      <w:r w:rsidRPr="00B26406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B26406">
        <w:rPr>
          <w:sz w:val="24"/>
          <w:szCs w:val="24"/>
        </w:rPr>
        <w:fldChar w:fldCharType="end"/>
      </w:r>
    </w:p>
    <w:p w:rsidR="00B26406" w:rsidRPr="00B26406" w:rsidRDefault="00B26406" w:rsidP="00B2640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B26406">
        <w:rPr>
          <w:sz w:val="24"/>
          <w:szCs w:val="24"/>
        </w:rPr>
        <w:t>Xin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cảm</w:t>
      </w:r>
      <w:proofErr w:type="spellEnd"/>
      <w:r w:rsidRPr="00B26406">
        <w:rPr>
          <w:sz w:val="24"/>
          <w:szCs w:val="24"/>
        </w:rPr>
        <w:t xml:space="preserve"> </w:t>
      </w:r>
      <w:proofErr w:type="spellStart"/>
      <w:r w:rsidRPr="00B26406">
        <w:rPr>
          <w:sz w:val="24"/>
          <w:szCs w:val="24"/>
        </w:rPr>
        <w:t>ơn</w:t>
      </w:r>
      <w:proofErr w:type="spellEnd"/>
      <w:r w:rsidRPr="00B26406">
        <w:rPr>
          <w:sz w:val="24"/>
          <w:szCs w:val="24"/>
        </w:rPr>
        <w:t>.</w:t>
      </w:r>
      <w:proofErr w:type="gramEnd"/>
    </w:p>
    <w:p w:rsidR="00777A44" w:rsidRPr="00B26406" w:rsidRDefault="00777A44" w:rsidP="00B26406">
      <w:pPr>
        <w:spacing w:after="0" w:line="240" w:lineRule="auto"/>
        <w:rPr>
          <w:sz w:val="24"/>
          <w:szCs w:val="24"/>
        </w:rPr>
      </w:pPr>
    </w:p>
    <w:p w:rsidR="00777A44" w:rsidRPr="00B26406" w:rsidRDefault="00777A44" w:rsidP="00B26406">
      <w:pPr>
        <w:spacing w:after="0" w:line="240" w:lineRule="auto"/>
        <w:rPr>
          <w:sz w:val="24"/>
          <w:szCs w:val="24"/>
        </w:rPr>
      </w:pPr>
    </w:p>
    <w:p w:rsidR="00777A44" w:rsidRPr="00B26406" w:rsidRDefault="00777A44" w:rsidP="00B26406">
      <w:pPr>
        <w:spacing w:after="0" w:line="240" w:lineRule="auto"/>
        <w:rPr>
          <w:sz w:val="24"/>
          <w:szCs w:val="24"/>
        </w:rPr>
      </w:pPr>
    </w:p>
    <w:sectPr w:rsidR="00777A44" w:rsidRPr="00B2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2677E"/>
    <w:rsid w:val="002408BF"/>
    <w:rsid w:val="002C593B"/>
    <w:rsid w:val="00327D87"/>
    <w:rsid w:val="00353E63"/>
    <w:rsid w:val="00384915"/>
    <w:rsid w:val="004306C4"/>
    <w:rsid w:val="004A7292"/>
    <w:rsid w:val="005C4846"/>
    <w:rsid w:val="006329A6"/>
    <w:rsid w:val="00682CC7"/>
    <w:rsid w:val="006A4F45"/>
    <w:rsid w:val="006E7737"/>
    <w:rsid w:val="00722681"/>
    <w:rsid w:val="0076496F"/>
    <w:rsid w:val="00777A44"/>
    <w:rsid w:val="00877C2C"/>
    <w:rsid w:val="008B21FA"/>
    <w:rsid w:val="0090707F"/>
    <w:rsid w:val="0093508D"/>
    <w:rsid w:val="0095220E"/>
    <w:rsid w:val="00AB6169"/>
    <w:rsid w:val="00AD4E3B"/>
    <w:rsid w:val="00B26406"/>
    <w:rsid w:val="00B95BEC"/>
    <w:rsid w:val="00C47546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4586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6-Quá trình Điều tra</dc:title>
  <dc:subject/>
  <dc:creator>John Golubic</dc:creator>
  <cp:keywords/>
  <dc:description/>
  <cp:lastModifiedBy>n2001866</cp:lastModifiedBy>
  <cp:revision>2</cp:revision>
  <cp:lastPrinted>2014-07-04T01:59:00Z</cp:lastPrinted>
  <dcterms:created xsi:type="dcterms:W3CDTF">2014-09-08T02:10:00Z</dcterms:created>
  <dcterms:modified xsi:type="dcterms:W3CDTF">2014-09-08T02:10:00Z</dcterms:modified>
</cp:coreProperties>
</file>