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6B59DE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386DC3" w:rsidRDefault="006B59DE" w:rsidP="006B59DE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>
        <w:t>Ukurasa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maelezo</w:t>
      </w:r>
      <w:proofErr w:type="spellEnd"/>
      <w:r>
        <w:t xml:space="preserve"> 7 -</w:t>
      </w:r>
      <w:proofErr w:type="spellStart"/>
      <w:r>
        <w:t>Kuhudhuria</w:t>
      </w:r>
      <w:proofErr w:type="spellEnd"/>
      <w:r>
        <w:t xml:space="preserve"> </w:t>
      </w:r>
      <w:proofErr w:type="spellStart"/>
      <w:r>
        <w:t>korti</w:t>
      </w:r>
      <w:proofErr w:type="spellEnd"/>
    </w:p>
    <w:bookmarkEnd w:id="0"/>
    <w:bookmarkEnd w:id="1"/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watamjulisha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mhasiriwa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tarehe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proofErr w:type="gramStart"/>
      <w:r w:rsidRPr="006B59DE">
        <w:rPr>
          <w:rFonts w:cs="Calibri"/>
          <w:sz w:val="24"/>
          <w:szCs w:val="24"/>
        </w:rPr>
        <w:t>na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mahali</w:t>
      </w:r>
      <w:proofErr w:type="spellEnd"/>
      <w:r w:rsidRPr="006B59DE">
        <w:rPr>
          <w:rFonts w:cs="Calibri"/>
          <w:sz w:val="24"/>
          <w:szCs w:val="24"/>
        </w:rPr>
        <w:t xml:space="preserve"> pa </w:t>
      </w:r>
      <w:proofErr w:type="spellStart"/>
      <w:r w:rsidRPr="006B59DE">
        <w:rPr>
          <w:rFonts w:cs="Calibri"/>
          <w:sz w:val="24"/>
          <w:szCs w:val="24"/>
        </w:rPr>
        <w:t>kusikiza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kesi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kortini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kuhusu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yaliyokabiliwa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mtuhumiwa</w:t>
      </w:r>
      <w:proofErr w:type="spellEnd"/>
      <w:r w:rsidRPr="006B59DE">
        <w:rPr>
          <w:rFonts w:cs="Calibri"/>
          <w:sz w:val="24"/>
          <w:szCs w:val="24"/>
        </w:rPr>
        <w:t xml:space="preserve">. </w:t>
      </w:r>
      <w:proofErr w:type="spellStart"/>
      <w:r w:rsidRPr="006B59DE">
        <w:rPr>
          <w:rFonts w:cs="Calibri"/>
          <w:sz w:val="24"/>
          <w:szCs w:val="24"/>
        </w:rPr>
        <w:t>Waathiriwa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hawahitajiki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na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wakili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kortini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sababu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. </w:t>
      </w:r>
      <w:proofErr w:type="spellStart"/>
      <w:proofErr w:type="gram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inawakilisha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jumuia</w:t>
      </w:r>
      <w:proofErr w:type="spellEnd"/>
      <w:r w:rsidRPr="006B59DE">
        <w:rPr>
          <w:rFonts w:cs="Calibri"/>
          <w:sz w:val="24"/>
          <w:szCs w:val="24"/>
        </w:rPr>
        <w:t>.</w:t>
      </w:r>
      <w:proofErr w:type="gramEnd"/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Kulingana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na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aina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dhidi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mtuhumiwa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mahakama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inayosikiza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kesi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hii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r w:rsidRPr="006B59DE">
        <w:rPr>
          <w:rFonts w:cs="Calibri"/>
          <w:sz w:val="24"/>
          <w:szCs w:val="24"/>
        </w:rPr>
        <w:t>mwendesha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anaweza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mwendesha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au </w:t>
      </w:r>
      <w:proofErr w:type="spellStart"/>
      <w:r w:rsidRPr="006B59DE">
        <w:rPr>
          <w:rFonts w:cs="Calibri"/>
          <w:sz w:val="24"/>
          <w:szCs w:val="24"/>
        </w:rPr>
        <w:t>mwendesha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Ofisi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NSW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Mkuruge</w:t>
      </w:r>
      <w:r>
        <w:rPr>
          <w:rFonts w:cs="Calibri"/>
          <w:sz w:val="24"/>
          <w:szCs w:val="24"/>
        </w:rPr>
        <w:t>nzi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wa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Mashtaka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wa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Umma</w:t>
      </w:r>
      <w:proofErr w:type="spellEnd"/>
      <w:r>
        <w:rPr>
          <w:rFonts w:cs="Calibri"/>
          <w:sz w:val="24"/>
          <w:szCs w:val="24"/>
        </w:rPr>
        <w:t xml:space="preserve"> – ODPP.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huchunguza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uhalifu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na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kuanzisha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uhalifu</w:t>
      </w:r>
      <w:proofErr w:type="spellEnd"/>
      <w:r w:rsidRPr="006B59DE">
        <w:rPr>
          <w:rFonts w:cs="Calibri"/>
          <w:sz w:val="24"/>
          <w:szCs w:val="24"/>
        </w:rPr>
        <w:t xml:space="preserve">. </w:t>
      </w:r>
      <w:proofErr w:type="spellStart"/>
      <w:r w:rsidRPr="006B59DE">
        <w:rPr>
          <w:rFonts w:cs="Calibri"/>
          <w:sz w:val="24"/>
          <w:szCs w:val="24"/>
        </w:rPr>
        <w:t>Watashtaki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masuala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jumla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katika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mahakama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eneo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r w:rsidRPr="006B59DE">
        <w:rPr>
          <w:rFonts w:cs="Calibri"/>
          <w:sz w:val="24"/>
          <w:szCs w:val="24"/>
        </w:rPr>
        <w:t>isipokuwa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linalohusu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unyanyasi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kinjisia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mtoto</w:t>
      </w:r>
      <w:proofErr w:type="spellEnd"/>
      <w:r w:rsidRPr="006B59DE">
        <w:rPr>
          <w:rFonts w:cs="Calibri"/>
          <w:sz w:val="24"/>
          <w:szCs w:val="24"/>
        </w:rPr>
        <w:t xml:space="preserve"> au </w:t>
      </w:r>
      <w:proofErr w:type="spellStart"/>
      <w:r w:rsidRPr="006B59DE">
        <w:rPr>
          <w:rFonts w:cs="Calibri"/>
          <w:sz w:val="24"/>
          <w:szCs w:val="24"/>
        </w:rPr>
        <w:t>ikiwa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dhidi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afisa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. </w:t>
      </w: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watapeleka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masuala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kubwa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uhalifu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kwa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ODPP </w:t>
      </w:r>
      <w:proofErr w:type="spellStart"/>
      <w:r w:rsidRPr="006B59DE">
        <w:rPr>
          <w:rFonts w:cs="Calibri"/>
          <w:sz w:val="24"/>
          <w:szCs w:val="24"/>
        </w:rPr>
        <w:t>atakayechukua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hatamu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juu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kesi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hiyo</w:t>
      </w:r>
      <w:proofErr w:type="spellEnd"/>
      <w:r w:rsidRPr="006B59DE">
        <w:rPr>
          <w:rFonts w:cs="Calibri"/>
          <w:sz w:val="24"/>
          <w:szCs w:val="24"/>
        </w:rPr>
        <w:t>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Afisa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aliyeshika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hatamu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uchunguzi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jukumu</w:t>
      </w:r>
      <w:proofErr w:type="spellEnd"/>
      <w:r w:rsidRPr="006B59DE">
        <w:rPr>
          <w:rFonts w:cs="Calibri"/>
          <w:sz w:val="24"/>
          <w:szCs w:val="24"/>
        </w:rPr>
        <w:t xml:space="preserve"> la </w:t>
      </w:r>
      <w:proofErr w:type="spellStart"/>
      <w:r w:rsidRPr="006B59DE">
        <w:rPr>
          <w:rFonts w:cs="Calibri"/>
          <w:sz w:val="24"/>
          <w:szCs w:val="24"/>
        </w:rPr>
        <w:t>kuwasiliana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mwathiriwa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barua</w:t>
      </w:r>
      <w:proofErr w:type="spellEnd"/>
      <w:r w:rsidRPr="006B59DE">
        <w:rPr>
          <w:rFonts w:cs="Calibri"/>
          <w:sz w:val="24"/>
          <w:szCs w:val="24"/>
        </w:rPr>
        <w:t xml:space="preserve"> au </w:t>
      </w:r>
      <w:proofErr w:type="spellStart"/>
      <w:r w:rsidRPr="006B59DE">
        <w:rPr>
          <w:rFonts w:cs="Calibri"/>
          <w:sz w:val="24"/>
          <w:szCs w:val="24"/>
        </w:rPr>
        <w:t>simu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r w:rsidRPr="006B59DE">
        <w:rPr>
          <w:rFonts w:cs="Calibri"/>
          <w:sz w:val="24"/>
          <w:szCs w:val="24"/>
        </w:rPr>
        <w:t>kabla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tarehe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kusikizwa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kesi</w:t>
      </w:r>
      <w:proofErr w:type="spellEnd"/>
      <w:r w:rsidRPr="006B59DE">
        <w:rPr>
          <w:rFonts w:cs="Calibri"/>
          <w:sz w:val="24"/>
          <w:szCs w:val="24"/>
        </w:rPr>
        <w:t xml:space="preserve">, au </w:t>
      </w:r>
      <w:proofErr w:type="spellStart"/>
      <w:r w:rsidRPr="006B59DE">
        <w:rPr>
          <w:rFonts w:cs="Calibri"/>
          <w:sz w:val="24"/>
          <w:szCs w:val="24"/>
        </w:rPr>
        <w:t>tarehe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yoyote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mhasiriwa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anafaa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kuhudhuria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</w:t>
      </w:r>
      <w:proofErr w:type="spellEnd"/>
      <w:r w:rsidRPr="006B59DE">
        <w:rPr>
          <w:rFonts w:cs="Calibri"/>
          <w:sz w:val="24"/>
          <w:szCs w:val="24"/>
        </w:rPr>
        <w:t xml:space="preserve">. Ni </w:t>
      </w:r>
      <w:proofErr w:type="spellStart"/>
      <w:r w:rsidRPr="006B59DE">
        <w:rPr>
          <w:rFonts w:cs="Calibri"/>
          <w:sz w:val="24"/>
          <w:szCs w:val="24"/>
        </w:rPr>
        <w:t>jukumu</w:t>
      </w:r>
      <w:proofErr w:type="spellEnd"/>
      <w:r w:rsidRPr="006B59DE">
        <w:rPr>
          <w:rFonts w:cs="Calibri"/>
          <w:sz w:val="24"/>
          <w:szCs w:val="24"/>
        </w:rPr>
        <w:t xml:space="preserve"> la </w:t>
      </w: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kumwelezea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mwathirwa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kuhusu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mfumo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kujaribiwa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jukumu</w:t>
      </w:r>
      <w:proofErr w:type="spellEnd"/>
      <w:r w:rsidRPr="006B59DE">
        <w:rPr>
          <w:rFonts w:cs="Calibri"/>
          <w:sz w:val="24"/>
          <w:szCs w:val="24"/>
        </w:rPr>
        <w:t xml:space="preserve"> la </w:t>
      </w:r>
      <w:proofErr w:type="spellStart"/>
      <w:r w:rsidRPr="006B59DE">
        <w:rPr>
          <w:rFonts w:cs="Calibri"/>
          <w:sz w:val="24"/>
          <w:szCs w:val="24"/>
        </w:rPr>
        <w:t>sh</w:t>
      </w:r>
      <w:r>
        <w:rPr>
          <w:rFonts w:cs="Calibri"/>
          <w:sz w:val="24"/>
          <w:szCs w:val="24"/>
        </w:rPr>
        <w:t>ahidi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kwa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waathriwa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wa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uhalifu</w:t>
      </w:r>
      <w:proofErr w:type="spellEnd"/>
      <w:r>
        <w:rPr>
          <w:rFonts w:cs="Calibri"/>
          <w:sz w:val="24"/>
          <w:szCs w:val="24"/>
        </w:rPr>
        <w:t>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r w:rsidRPr="006B59DE">
        <w:rPr>
          <w:rFonts w:cs="Calibri"/>
          <w:sz w:val="24"/>
          <w:szCs w:val="24"/>
        </w:rPr>
        <w:t xml:space="preserve">Ni </w:t>
      </w:r>
      <w:proofErr w:type="spellStart"/>
      <w:r w:rsidRPr="006B59DE">
        <w:rPr>
          <w:rFonts w:cs="Calibri"/>
          <w:sz w:val="24"/>
          <w:szCs w:val="24"/>
        </w:rPr>
        <w:t>jambo</w:t>
      </w:r>
      <w:proofErr w:type="spellEnd"/>
      <w:r w:rsidRPr="006B59DE">
        <w:rPr>
          <w:rFonts w:cs="Calibri"/>
          <w:sz w:val="24"/>
          <w:szCs w:val="24"/>
        </w:rPr>
        <w:t xml:space="preserve"> la </w:t>
      </w:r>
      <w:proofErr w:type="spellStart"/>
      <w:r w:rsidRPr="006B59DE">
        <w:rPr>
          <w:rFonts w:cs="Calibri"/>
          <w:sz w:val="24"/>
          <w:szCs w:val="24"/>
        </w:rPr>
        <w:t>kawaida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kwa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kulazimisha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waathiriwa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uhalifu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kuhudhuria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usikilizaji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</w:t>
      </w:r>
      <w:proofErr w:type="spellEnd"/>
      <w:r w:rsidRPr="006B59DE">
        <w:rPr>
          <w:rFonts w:cs="Calibri"/>
          <w:sz w:val="24"/>
          <w:szCs w:val="24"/>
        </w:rPr>
        <w:t>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“Safari </w:t>
      </w:r>
      <w:proofErr w:type="spellStart"/>
      <w:r>
        <w:rPr>
          <w:rFonts w:cs="Calibri"/>
          <w:sz w:val="24"/>
          <w:szCs w:val="24"/>
        </w:rPr>
        <w:t>ya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Haki</w:t>
      </w:r>
      <w:proofErr w:type="spellEnd"/>
      <w:r>
        <w:rPr>
          <w:rFonts w:cs="Calibri"/>
          <w:sz w:val="24"/>
          <w:szCs w:val="24"/>
        </w:rPr>
        <w:t>,</w:t>
      </w:r>
      <w:r w:rsidRPr="006B59DE">
        <w:rPr>
          <w:rFonts w:cs="Calibri"/>
          <w:sz w:val="24"/>
          <w:szCs w:val="24"/>
        </w:rPr>
        <w:t xml:space="preserve">” </w:t>
      </w:r>
      <w:proofErr w:type="spellStart"/>
      <w:r w:rsidRPr="006B59DE">
        <w:rPr>
          <w:rFonts w:cs="Calibri"/>
          <w:sz w:val="24"/>
          <w:szCs w:val="24"/>
        </w:rPr>
        <w:t>mwongozo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kusaidia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</w:t>
      </w:r>
      <w:r>
        <w:rPr>
          <w:rFonts w:cs="Calibri"/>
          <w:sz w:val="24"/>
          <w:szCs w:val="24"/>
        </w:rPr>
        <w:t>aathiriwa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kwenye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mfumo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wa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haki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unapatikana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katika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tovuti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waathiriwa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uhalifu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NSW.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r w:rsidRPr="006B59DE">
        <w:rPr>
          <w:rFonts w:cs="Calibri"/>
          <w:sz w:val="24"/>
          <w:szCs w:val="24"/>
        </w:rPr>
        <w:t xml:space="preserve">Ili </w:t>
      </w:r>
      <w:proofErr w:type="spellStart"/>
      <w:r w:rsidRPr="006B59DE">
        <w:rPr>
          <w:rFonts w:cs="Calibri"/>
          <w:sz w:val="24"/>
          <w:szCs w:val="24"/>
        </w:rPr>
        <w:t>kupata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mwongozo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r w:rsidRPr="006B59DE">
        <w:rPr>
          <w:rFonts w:cs="Calibri"/>
          <w:sz w:val="24"/>
          <w:szCs w:val="24"/>
        </w:rPr>
        <w:t>nenda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kwa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hyperlink r:id="rId5" w:history="1">
        <w:r w:rsidRPr="00054E41">
          <w:rPr>
            <w:rStyle w:val="Hyperlink"/>
            <w:rFonts w:eastAsia="SimSun" w:cs="Calibri"/>
            <w:sz w:val="24"/>
            <w:szCs w:val="24"/>
            <w:lang w:eastAsia="zh-CN"/>
          </w:rPr>
          <w:t>Visit the Lawlink website</w:t>
        </w:r>
      </w:hyperlink>
      <w:r w:rsidRPr="00054E4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ufuate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kiungo</w:t>
      </w:r>
      <w:proofErr w:type="spellEnd"/>
      <w:r w:rsidRPr="006B59DE">
        <w:rPr>
          <w:rFonts w:cs="Calibri"/>
          <w:sz w:val="24"/>
          <w:szCs w:val="24"/>
        </w:rPr>
        <w:t xml:space="preserve"> cha safari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haki</w:t>
      </w:r>
      <w:proofErr w:type="spellEnd"/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wanapaswa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kuhakikisha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kwamba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waathiriwa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wote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wamepata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maelezo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yaliyo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wazi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r w:rsidRPr="006B59DE">
        <w:rPr>
          <w:rFonts w:cs="Calibri"/>
          <w:sz w:val="24"/>
          <w:szCs w:val="24"/>
        </w:rPr>
        <w:t>sahihi</w:t>
      </w:r>
      <w:proofErr w:type="spellEnd"/>
      <w:r w:rsidRPr="006B59DE">
        <w:rPr>
          <w:rFonts w:cs="Calibri"/>
          <w:sz w:val="24"/>
          <w:szCs w:val="24"/>
        </w:rPr>
        <w:t xml:space="preserve"> nay a </w:t>
      </w:r>
      <w:proofErr w:type="spellStart"/>
      <w:r w:rsidRPr="006B59DE">
        <w:rPr>
          <w:rFonts w:cs="Calibri"/>
          <w:sz w:val="24"/>
          <w:szCs w:val="24"/>
        </w:rPr>
        <w:t>wakati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kuhusu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jukumu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lao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katika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mahakama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nini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kutarajia</w:t>
      </w:r>
      <w:proofErr w:type="spellEnd"/>
      <w:r w:rsidRPr="006B59DE">
        <w:rPr>
          <w:rFonts w:cs="Calibri"/>
          <w:sz w:val="24"/>
          <w:szCs w:val="24"/>
        </w:rPr>
        <w:t xml:space="preserve">.  </w:t>
      </w:r>
      <w:proofErr w:type="spellStart"/>
      <w:r w:rsidRPr="006B59DE">
        <w:rPr>
          <w:rFonts w:cs="Calibri"/>
          <w:sz w:val="24"/>
          <w:szCs w:val="24"/>
        </w:rPr>
        <w:t>Hii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ni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pamoja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>:</w:t>
      </w:r>
    </w:p>
    <w:p w:rsidR="006B59DE" w:rsidRPr="006B59DE" w:rsidRDefault="006B59DE" w:rsidP="006B59DE">
      <w:pPr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  <w:r w:rsidRPr="006B59DE">
        <w:rPr>
          <w:rFonts w:cs="Calibri"/>
          <w:sz w:val="24"/>
          <w:szCs w:val="24"/>
        </w:rPr>
        <w:t>•</w:t>
      </w:r>
      <w:r w:rsidRPr="006B59DE">
        <w:rPr>
          <w:rFonts w:cs="Calibri"/>
          <w:sz w:val="24"/>
          <w:szCs w:val="24"/>
        </w:rPr>
        <w:tab/>
      </w:r>
      <w:proofErr w:type="spellStart"/>
      <w:r w:rsidRPr="006B59DE">
        <w:rPr>
          <w:rFonts w:cs="Calibri"/>
          <w:sz w:val="24"/>
          <w:szCs w:val="24"/>
        </w:rPr>
        <w:t>Utaratibu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kutoa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kuhojiwa</w:t>
      </w:r>
      <w:proofErr w:type="spellEnd"/>
    </w:p>
    <w:p w:rsidR="006B59DE" w:rsidRPr="006B59DE" w:rsidRDefault="006B59DE" w:rsidP="006B59DE">
      <w:pPr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  <w:r w:rsidRPr="006B59DE">
        <w:rPr>
          <w:rFonts w:cs="Calibri"/>
          <w:sz w:val="24"/>
          <w:szCs w:val="24"/>
        </w:rPr>
        <w:t>•</w:t>
      </w:r>
      <w:r w:rsidRPr="006B59DE">
        <w:rPr>
          <w:rFonts w:cs="Calibri"/>
          <w:sz w:val="24"/>
          <w:szCs w:val="24"/>
        </w:rPr>
        <w:tab/>
      </w:r>
      <w:proofErr w:type="spellStart"/>
      <w:r w:rsidRPr="006B59DE">
        <w:rPr>
          <w:rFonts w:cs="Calibri"/>
          <w:sz w:val="24"/>
          <w:szCs w:val="24"/>
        </w:rPr>
        <w:t>Watu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watakuwepo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kortini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na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majukumu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yao</w:t>
      </w:r>
      <w:proofErr w:type="spellEnd"/>
    </w:p>
    <w:p w:rsidR="006B59DE" w:rsidRPr="006B59DE" w:rsidRDefault="006B59DE" w:rsidP="006B59DE">
      <w:pPr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  <w:r w:rsidRPr="006B59DE">
        <w:rPr>
          <w:rFonts w:cs="Calibri"/>
          <w:sz w:val="24"/>
          <w:szCs w:val="24"/>
        </w:rPr>
        <w:t>•</w:t>
      </w:r>
      <w:r w:rsidRPr="006B59DE">
        <w:rPr>
          <w:rFonts w:cs="Calibri"/>
          <w:sz w:val="24"/>
          <w:szCs w:val="24"/>
        </w:rPr>
        <w:tab/>
      </w:r>
      <w:proofErr w:type="spellStart"/>
      <w:r w:rsidRPr="006B59DE">
        <w:rPr>
          <w:rFonts w:cs="Calibri"/>
          <w:sz w:val="24"/>
          <w:szCs w:val="24"/>
        </w:rPr>
        <w:t>Jinsi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inafanya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kazi</w:t>
      </w:r>
      <w:proofErr w:type="spellEnd"/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6B59DE">
        <w:rPr>
          <w:rFonts w:cs="Calibri"/>
          <w:sz w:val="24"/>
          <w:szCs w:val="24"/>
        </w:rPr>
        <w:t>na</w:t>
      </w:r>
      <w:proofErr w:type="spellEnd"/>
      <w:proofErr w:type="gramEnd"/>
    </w:p>
    <w:p w:rsidR="006B59DE" w:rsidRPr="006B59DE" w:rsidRDefault="006B59DE" w:rsidP="006B59DE">
      <w:pPr>
        <w:tabs>
          <w:tab w:val="left" w:pos="284"/>
        </w:tabs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6B59DE">
        <w:rPr>
          <w:rFonts w:cs="Calibri"/>
          <w:sz w:val="24"/>
          <w:szCs w:val="24"/>
        </w:rPr>
        <w:t>•</w:t>
      </w:r>
      <w:r w:rsidRPr="006B59DE">
        <w:rPr>
          <w:rFonts w:cs="Calibri"/>
          <w:sz w:val="24"/>
          <w:szCs w:val="24"/>
        </w:rPr>
        <w:tab/>
      </w:r>
      <w:proofErr w:type="spellStart"/>
      <w:r w:rsidRPr="006B59DE">
        <w:rPr>
          <w:rFonts w:cs="Calibri"/>
          <w:sz w:val="24"/>
          <w:szCs w:val="24"/>
        </w:rPr>
        <w:t>Jinsi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mhasiriwa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anaweza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kulindwa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kutokana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na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mawasiliano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yasiyo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lazima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mtuhumiwa</w:t>
      </w:r>
      <w:proofErr w:type="spellEnd"/>
      <w:r w:rsidRPr="006B59DE">
        <w:rPr>
          <w:rFonts w:cs="Calibri"/>
          <w:sz w:val="24"/>
          <w:szCs w:val="24"/>
        </w:rPr>
        <w:t xml:space="preserve"> au </w:t>
      </w:r>
      <w:proofErr w:type="spellStart"/>
      <w:r w:rsidRPr="006B59DE">
        <w:rPr>
          <w:rFonts w:cs="Calibri"/>
          <w:sz w:val="24"/>
          <w:szCs w:val="24"/>
        </w:rPr>
        <w:t>mashahidi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mshtakiwa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wakati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inapoendelea</w:t>
      </w:r>
      <w:proofErr w:type="spellEnd"/>
      <w:r w:rsidRPr="006B59DE">
        <w:rPr>
          <w:rFonts w:cs="Calibri"/>
          <w:sz w:val="24"/>
          <w:szCs w:val="24"/>
        </w:rPr>
        <w:t>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Ikiwa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mhasiriwa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wasiwasi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wowote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kuhusu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usalama</w:t>
      </w:r>
      <w:proofErr w:type="spellEnd"/>
      <w:r w:rsidRPr="006B59DE">
        <w:rPr>
          <w:rFonts w:cs="Calibri"/>
          <w:sz w:val="24"/>
          <w:szCs w:val="24"/>
        </w:rPr>
        <w:t xml:space="preserve"> wake, </w:t>
      </w:r>
      <w:proofErr w:type="spellStart"/>
      <w:proofErr w:type="gramStart"/>
      <w:r w:rsidRPr="006B59DE">
        <w:rPr>
          <w:rFonts w:cs="Calibri"/>
          <w:sz w:val="24"/>
          <w:szCs w:val="24"/>
        </w:rPr>
        <w:t>na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anahitaji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ulinzi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dhidi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mtuhumiwa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r w:rsidRPr="006B59DE">
        <w:rPr>
          <w:rFonts w:cs="Calibri"/>
          <w:sz w:val="24"/>
          <w:szCs w:val="24"/>
        </w:rPr>
        <w:t>anapaswa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kumjulisha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afisa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anayechunguza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kesi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mara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moja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ambaye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atamjulisha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mwendesha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mashtaka</w:t>
      </w:r>
      <w:proofErr w:type="spellEnd"/>
      <w:r>
        <w:rPr>
          <w:rFonts w:cs="Calibri"/>
          <w:sz w:val="24"/>
          <w:szCs w:val="24"/>
        </w:rPr>
        <w:t>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Katika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baadhi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vyumba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vya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mahakama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vyumba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tofauti</w:t>
      </w:r>
      <w:proofErr w:type="spellEnd"/>
      <w:r w:rsidRPr="006B59DE">
        <w:rPr>
          <w:rFonts w:cs="Calibri"/>
          <w:sz w:val="24"/>
          <w:szCs w:val="24"/>
        </w:rPr>
        <w:t xml:space="preserve">  </w:t>
      </w:r>
      <w:proofErr w:type="spellStart"/>
      <w:r w:rsidRPr="006B59DE">
        <w:rPr>
          <w:rFonts w:cs="Calibri"/>
          <w:sz w:val="24"/>
          <w:szCs w:val="24"/>
        </w:rPr>
        <w:t>ambavyo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waathiriwa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wanaweza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kutumia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kusubiri</w:t>
      </w:r>
      <w:proofErr w:type="spellEnd"/>
      <w:r w:rsidRPr="006B59DE">
        <w:rPr>
          <w:rFonts w:cs="Calibri"/>
          <w:sz w:val="24"/>
          <w:szCs w:val="24"/>
        </w:rPr>
        <w:t>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Kabla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kwenda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kortini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mwathirika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anaweza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kupanga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wakati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mahali</w:t>
      </w:r>
      <w:proofErr w:type="spellEnd"/>
      <w:r w:rsidRPr="006B59DE">
        <w:rPr>
          <w:rFonts w:cs="Calibri"/>
          <w:sz w:val="24"/>
          <w:szCs w:val="24"/>
        </w:rPr>
        <w:t xml:space="preserve"> pa </w:t>
      </w:r>
      <w:proofErr w:type="spellStart"/>
      <w:r w:rsidRPr="006B59DE">
        <w:rPr>
          <w:rFonts w:cs="Calibri"/>
          <w:sz w:val="24"/>
          <w:szCs w:val="24"/>
        </w:rPr>
        <w:t>kukutana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mwendesha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au </w:t>
      </w:r>
      <w:proofErr w:type="spellStart"/>
      <w:r w:rsidRPr="006B59DE">
        <w:rPr>
          <w:rFonts w:cs="Calibri"/>
          <w:sz w:val="24"/>
          <w:szCs w:val="24"/>
        </w:rPr>
        <w:t>mtu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msaada</w:t>
      </w:r>
      <w:proofErr w:type="spellEnd"/>
      <w:r w:rsidRPr="006B59DE">
        <w:rPr>
          <w:rFonts w:cs="Calibri"/>
          <w:sz w:val="24"/>
          <w:szCs w:val="24"/>
        </w:rPr>
        <w:t xml:space="preserve"> ,</w:t>
      </w:r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atakayemwonyesha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mhasiriwa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mahali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salama</w:t>
      </w:r>
      <w:proofErr w:type="spellEnd"/>
      <w:r w:rsidRPr="006B59DE">
        <w:rPr>
          <w:rFonts w:cs="Calibri"/>
          <w:sz w:val="24"/>
          <w:szCs w:val="24"/>
        </w:rPr>
        <w:t xml:space="preserve"> pa </w:t>
      </w:r>
      <w:proofErr w:type="spellStart"/>
      <w:r w:rsidRPr="006B59DE">
        <w:rPr>
          <w:rFonts w:cs="Calibri"/>
          <w:sz w:val="24"/>
          <w:szCs w:val="24"/>
        </w:rPr>
        <w:t>kusubiri</w:t>
      </w:r>
      <w:proofErr w:type="spellEnd"/>
      <w:r w:rsidRPr="006B59DE">
        <w:rPr>
          <w:rFonts w:cs="Calibri"/>
          <w:sz w:val="24"/>
          <w:szCs w:val="24"/>
        </w:rPr>
        <w:t>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Gharama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zinaweza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kuwepo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kwa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siku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ambazo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anaenda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mahakamani</w:t>
      </w:r>
      <w:proofErr w:type="spellEnd"/>
      <w:r w:rsidRPr="006B59DE">
        <w:rPr>
          <w:rFonts w:cs="Calibri"/>
          <w:sz w:val="24"/>
          <w:szCs w:val="24"/>
        </w:rPr>
        <w:t xml:space="preserve">. </w:t>
      </w:r>
      <w:proofErr w:type="spellStart"/>
      <w:r w:rsidRPr="006B59DE">
        <w:rPr>
          <w:rFonts w:cs="Calibri"/>
          <w:sz w:val="24"/>
          <w:szCs w:val="24"/>
        </w:rPr>
        <w:t>Gharama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hizi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zinaweza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kujumuisha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chakula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usafiri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na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gharama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za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malazi</w:t>
      </w:r>
      <w:proofErr w:type="spellEnd"/>
      <w:r>
        <w:rPr>
          <w:rFonts w:cs="Calibri"/>
          <w:sz w:val="24"/>
          <w:szCs w:val="24"/>
        </w:rPr>
        <w:t>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Viwango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vya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malipo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havikusudii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kulipa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fidia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kabisa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gharama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na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hasara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shahidi</w:t>
      </w:r>
      <w:proofErr w:type="spellEnd"/>
      <w:r w:rsidRPr="006B59DE">
        <w:rPr>
          <w:rFonts w:cs="Calibri"/>
          <w:sz w:val="24"/>
          <w:szCs w:val="24"/>
        </w:rPr>
        <w:t xml:space="preserve">. </w:t>
      </w:r>
      <w:proofErr w:type="spellStart"/>
      <w:r w:rsidRPr="006B59DE">
        <w:rPr>
          <w:rFonts w:cs="Calibri"/>
          <w:sz w:val="24"/>
          <w:szCs w:val="24"/>
        </w:rPr>
        <w:t>Zinalenga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kulegeza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makali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kiuchumi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atakayoyapata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kwa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kuhudhuria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mahakamani</w:t>
      </w:r>
      <w:proofErr w:type="spellEnd"/>
      <w:r w:rsidRPr="006B59DE">
        <w:rPr>
          <w:rFonts w:cs="Calibri"/>
          <w:sz w:val="24"/>
          <w:szCs w:val="24"/>
        </w:rPr>
        <w:t>.</w:t>
      </w:r>
    </w:p>
    <w:p w:rsid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mdakuzi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/au </w:t>
      </w:r>
      <w:proofErr w:type="spellStart"/>
      <w:r w:rsidRPr="006B59DE">
        <w:rPr>
          <w:rFonts w:cs="Calibri"/>
          <w:sz w:val="24"/>
          <w:szCs w:val="24"/>
        </w:rPr>
        <w:t>mwendesha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>/</w:t>
      </w:r>
      <w:proofErr w:type="gramStart"/>
      <w:r w:rsidRPr="006B59DE">
        <w:rPr>
          <w:rFonts w:cs="Calibri"/>
          <w:sz w:val="24"/>
          <w:szCs w:val="24"/>
        </w:rPr>
        <w:t xml:space="preserve">au  </w:t>
      </w:r>
      <w:proofErr w:type="spellStart"/>
      <w:r w:rsidRPr="006B59DE">
        <w:rPr>
          <w:rFonts w:cs="Calibri"/>
          <w:sz w:val="24"/>
          <w:szCs w:val="24"/>
        </w:rPr>
        <w:t>mwendesha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ODPP </w:t>
      </w:r>
      <w:proofErr w:type="spellStart"/>
      <w:r w:rsidRPr="006B59DE">
        <w:rPr>
          <w:rFonts w:cs="Calibri"/>
          <w:sz w:val="24"/>
          <w:szCs w:val="24"/>
        </w:rPr>
        <w:t>lazima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aidhinishe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fomu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kudai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gharama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shahidi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r w:rsidRPr="006B59DE">
        <w:rPr>
          <w:rFonts w:cs="Calibri"/>
          <w:sz w:val="24"/>
          <w:szCs w:val="24"/>
        </w:rPr>
        <w:t>kabla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kuwasilisha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fomu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afisa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</w:t>
      </w:r>
      <w:proofErr w:type="spellEnd"/>
      <w:r w:rsidRPr="006B59DE">
        <w:rPr>
          <w:rFonts w:cs="Calibri"/>
          <w:sz w:val="24"/>
          <w:szCs w:val="24"/>
        </w:rPr>
        <w:t>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lastRenderedPageBreak/>
        <w:t>Baada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kutoa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ushahidi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r w:rsidRPr="006B59DE">
        <w:rPr>
          <w:rFonts w:cs="Calibri"/>
          <w:sz w:val="24"/>
          <w:szCs w:val="24"/>
        </w:rPr>
        <w:t>unapaswa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kuhudhuria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ofisi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na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kuwasilisha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fomu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hiyo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iliodhainishwa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ili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kupata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malipo</w:t>
      </w:r>
      <w:proofErr w:type="spellEnd"/>
      <w:r w:rsidRPr="006B59DE">
        <w:rPr>
          <w:rFonts w:cs="Calibri"/>
          <w:sz w:val="24"/>
          <w:szCs w:val="24"/>
        </w:rPr>
        <w:t>.</w:t>
      </w:r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6B59DE">
        <w:rPr>
          <w:rFonts w:cs="Calibri"/>
          <w:sz w:val="24"/>
          <w:szCs w:val="24"/>
        </w:rPr>
        <w:t>Ikiwa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wanahitaji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pesa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kuwasaidia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kuhudhuria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r w:rsidRPr="006B59DE">
        <w:rPr>
          <w:rFonts w:cs="Calibri"/>
          <w:sz w:val="24"/>
          <w:szCs w:val="24"/>
        </w:rPr>
        <w:t>mashahidi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wanapaswa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kujulisha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au </w:t>
      </w:r>
      <w:proofErr w:type="spellStart"/>
      <w:r w:rsidRPr="006B59DE">
        <w:rPr>
          <w:rFonts w:cs="Calibri"/>
          <w:sz w:val="24"/>
          <w:szCs w:val="24"/>
        </w:rPr>
        <w:t>mwendesha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mashtaka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ODPP </w:t>
      </w:r>
      <w:proofErr w:type="spellStart"/>
      <w:r w:rsidRPr="006B59DE">
        <w:rPr>
          <w:rFonts w:cs="Calibri"/>
          <w:sz w:val="24"/>
          <w:szCs w:val="24"/>
        </w:rPr>
        <w:t>mapema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kabla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kusikizwa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kesi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kortini</w:t>
      </w:r>
      <w:proofErr w:type="spellEnd"/>
      <w:r w:rsidRPr="006B59DE">
        <w:rPr>
          <w:rFonts w:cs="Calibri"/>
          <w:sz w:val="24"/>
          <w:szCs w:val="24"/>
        </w:rPr>
        <w:t xml:space="preserve">. </w:t>
      </w:r>
    </w:p>
    <w:p w:rsidR="006B59DE" w:rsidRPr="006B59DE" w:rsidRDefault="006B59DE" w:rsidP="006B59DE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6B59DE">
        <w:rPr>
          <w:rFonts w:cs="Calibri"/>
          <w:sz w:val="24"/>
          <w:szCs w:val="24"/>
        </w:rPr>
        <w:t>Kwa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maelezo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zaidi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tafadhali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piga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simu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6B59DE">
        <w:rPr>
          <w:rFonts w:cs="Calibri"/>
          <w:sz w:val="24"/>
          <w:szCs w:val="24"/>
        </w:rPr>
        <w:t>kwa</w:t>
      </w:r>
      <w:proofErr w:type="spellEnd"/>
      <w:proofErr w:type="gramEnd"/>
      <w:r w:rsidRPr="006B59DE">
        <w:rPr>
          <w:rFonts w:cs="Calibri"/>
          <w:sz w:val="24"/>
          <w:szCs w:val="24"/>
        </w:rPr>
        <w:t xml:space="preserve"> (02) 9285 8606 au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tembelea</w:t>
      </w:r>
      <w:proofErr w:type="spellEnd"/>
      <w:r>
        <w:rPr>
          <w:rFonts w:cs="Calibri"/>
          <w:sz w:val="24"/>
          <w:szCs w:val="24"/>
        </w:rPr>
        <w:t xml:space="preserve">:  </w:t>
      </w:r>
      <w:hyperlink r:id="rId6" w:history="1">
        <w:r w:rsidR="000821EB" w:rsidRPr="000821EB">
          <w:rPr>
            <w:rStyle w:val="Hyperlink"/>
            <w:rFonts w:cs="Calibri"/>
            <w:sz w:val="24"/>
            <w:szCs w:val="24"/>
          </w:rPr>
          <w:t>Visit the ODPP website</w:t>
        </w:r>
      </w:hyperlink>
      <w:r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kufuata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kiungo</w:t>
      </w:r>
      <w:proofErr w:type="spellEnd"/>
      <w:r w:rsidRPr="006B59DE">
        <w:rPr>
          <w:rFonts w:cs="Calibri"/>
          <w:sz w:val="24"/>
          <w:szCs w:val="24"/>
        </w:rPr>
        <w:t xml:space="preserve"> cha </w:t>
      </w:r>
      <w:proofErr w:type="spellStart"/>
      <w:r w:rsidRPr="006B59DE">
        <w:rPr>
          <w:rFonts w:cs="Calibri"/>
          <w:sz w:val="24"/>
          <w:szCs w:val="24"/>
        </w:rPr>
        <w:t>Huduma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za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Waathiriwa</w:t>
      </w:r>
      <w:proofErr w:type="spellEnd"/>
      <w:r w:rsidRPr="006B59DE">
        <w:rPr>
          <w:rFonts w:cs="Calibri"/>
          <w:sz w:val="24"/>
          <w:szCs w:val="24"/>
        </w:rPr>
        <w:t xml:space="preserve">, </w:t>
      </w:r>
      <w:proofErr w:type="spellStart"/>
      <w:r w:rsidRPr="006B59DE">
        <w:rPr>
          <w:rFonts w:cs="Calibri"/>
          <w:sz w:val="24"/>
          <w:szCs w:val="24"/>
        </w:rPr>
        <w:t>Huduma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Kusaidia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Mashahidi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Maelezo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zaidi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waathirika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uhalifu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yanapatikana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kwa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kutembelea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tovuti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ya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Polisi</w:t>
      </w:r>
      <w:proofErr w:type="spellEnd"/>
      <w:r w:rsidRPr="006B59DE">
        <w:rPr>
          <w:rFonts w:cs="Calibri"/>
          <w:sz w:val="24"/>
          <w:szCs w:val="24"/>
        </w:rPr>
        <w:t xml:space="preserve"> </w:t>
      </w:r>
      <w:proofErr w:type="spellStart"/>
      <w:r w:rsidRPr="006B59DE">
        <w:rPr>
          <w:rFonts w:cs="Calibri"/>
          <w:sz w:val="24"/>
          <w:szCs w:val="24"/>
        </w:rPr>
        <w:t>wa</w:t>
      </w:r>
      <w:proofErr w:type="spellEnd"/>
      <w:r w:rsidRPr="006B59DE">
        <w:rPr>
          <w:rFonts w:cs="Calibri"/>
          <w:sz w:val="24"/>
          <w:szCs w:val="24"/>
        </w:rPr>
        <w:t xml:space="preserve"> NSW </w:t>
      </w:r>
      <w:hyperlink r:id="rId7" w:history="1">
        <w:r w:rsidRPr="006B59DE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</w:p>
    <w:p w:rsidR="006B59DE" w:rsidRPr="006B59DE" w:rsidRDefault="006B59DE" w:rsidP="006B59DE">
      <w:pPr>
        <w:spacing w:after="0" w:line="240" w:lineRule="auto"/>
        <w:rPr>
          <w:rFonts w:cs="Calibri"/>
          <w:sz w:val="24"/>
          <w:szCs w:val="24"/>
        </w:rPr>
      </w:pPr>
      <w:r w:rsidRPr="006B59DE">
        <w:rPr>
          <w:rFonts w:cs="Calibri"/>
          <w:sz w:val="24"/>
          <w:szCs w:val="24"/>
        </w:rPr>
        <w:t>Asante.</w:t>
      </w:r>
    </w:p>
    <w:p w:rsidR="006B59DE" w:rsidRPr="006B59DE" w:rsidRDefault="006B59DE" w:rsidP="006B59DE">
      <w:pPr>
        <w:spacing w:after="0" w:line="240" w:lineRule="auto"/>
      </w:pPr>
    </w:p>
    <w:sectPr w:rsidR="006B59DE" w:rsidRPr="006B5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821EB"/>
    <w:rsid w:val="000A2DF3"/>
    <w:rsid w:val="001410F7"/>
    <w:rsid w:val="001D5757"/>
    <w:rsid w:val="002176B1"/>
    <w:rsid w:val="002838E2"/>
    <w:rsid w:val="002C45EA"/>
    <w:rsid w:val="002C593B"/>
    <w:rsid w:val="00386DC3"/>
    <w:rsid w:val="003E218C"/>
    <w:rsid w:val="003F3556"/>
    <w:rsid w:val="00426833"/>
    <w:rsid w:val="005863F9"/>
    <w:rsid w:val="00682CC7"/>
    <w:rsid w:val="006A1FC9"/>
    <w:rsid w:val="006B59DE"/>
    <w:rsid w:val="00727D36"/>
    <w:rsid w:val="00796D89"/>
    <w:rsid w:val="00856ED0"/>
    <w:rsid w:val="008B21FA"/>
    <w:rsid w:val="008E5767"/>
    <w:rsid w:val="0093508D"/>
    <w:rsid w:val="009E14D7"/>
    <w:rsid w:val="00A04D3F"/>
    <w:rsid w:val="00AB4B76"/>
    <w:rsid w:val="00B55167"/>
    <w:rsid w:val="00B94716"/>
    <w:rsid w:val="00C244D8"/>
    <w:rsid w:val="00C24762"/>
    <w:rsid w:val="00D26F6F"/>
    <w:rsid w:val="00D5257E"/>
    <w:rsid w:val="00DB7042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e.nsw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pp.nsw.gov.au/" TargetMode="External"/><Relationship Id="rId5" Type="http://schemas.openxmlformats.org/officeDocument/2006/relationships/hyperlink" Target="http://www.missingpersons.lawlink.nsw.gov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3658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7536685</vt:i4>
      </vt:variant>
      <vt:variant>
        <vt:i4>3</vt:i4>
      </vt:variant>
      <vt:variant>
        <vt:i4>0</vt:i4>
      </vt:variant>
      <vt:variant>
        <vt:i4>5</vt:i4>
      </vt:variant>
      <vt:variant>
        <vt:lpwstr>http://www.odpp.nsw.gov.au/</vt:lpwstr>
      </vt:variant>
      <vt:variant>
        <vt:lpwstr/>
      </vt:variant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7 -Kuhudhuria korti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2014-08-29T05:50:00Z</dcterms:created>
  <dcterms:modified xsi:type="dcterms:W3CDTF">2014-08-29T05:50:00Z</dcterms:modified>
</cp:coreProperties>
</file>